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9AFE5C" w14:textId="77777777" w:rsidR="007B09F5" w:rsidRDefault="007B09F5" w:rsidP="00B15E5F">
      <w:pPr>
        <w:pStyle w:val="Titel"/>
        <w:jc w:val="center"/>
        <w:rPr>
          <w:rFonts w:asciiTheme="minorHAnsi" w:hAnsiTheme="minorHAnsi" w:cstheme="minorHAnsi"/>
          <w:b/>
          <w:sz w:val="32"/>
          <w:szCs w:val="32"/>
        </w:rPr>
      </w:pPr>
    </w:p>
    <w:p w14:paraId="111D09C8" w14:textId="77777777" w:rsidR="007B09F5" w:rsidRDefault="007B09F5" w:rsidP="00B15E5F">
      <w:pPr>
        <w:pStyle w:val="Titel"/>
        <w:jc w:val="center"/>
        <w:rPr>
          <w:rFonts w:asciiTheme="minorHAnsi" w:hAnsiTheme="minorHAnsi" w:cstheme="minorHAnsi"/>
          <w:b/>
          <w:sz w:val="32"/>
          <w:szCs w:val="32"/>
        </w:rPr>
      </w:pPr>
    </w:p>
    <w:p w14:paraId="220D08F6" w14:textId="77777777" w:rsidR="003C78DA" w:rsidRDefault="000B5287" w:rsidP="00FD5644">
      <w:pPr>
        <w:pStyle w:val="Titel"/>
        <w:jc w:val="center"/>
        <w:rPr>
          <w:rFonts w:asciiTheme="minorHAnsi" w:hAnsiTheme="minorHAnsi" w:cstheme="minorHAnsi"/>
          <w:b/>
          <w:sz w:val="32"/>
          <w:szCs w:val="32"/>
        </w:rPr>
      </w:pPr>
      <w:r w:rsidRPr="00997B2F">
        <w:rPr>
          <w:rFonts w:asciiTheme="minorHAnsi" w:hAnsiTheme="minorHAnsi" w:cstheme="minorHAnsi"/>
          <w:b/>
          <w:sz w:val="32"/>
          <w:szCs w:val="32"/>
        </w:rPr>
        <w:t>Richtlinie zur E-Commerce-Förderung</w:t>
      </w:r>
    </w:p>
    <w:p w14:paraId="691D8DE5" w14:textId="77777777" w:rsidR="00DB5F77" w:rsidRPr="00DB5F77" w:rsidRDefault="00DB5F77" w:rsidP="00FD5644">
      <w:pPr>
        <w:spacing w:after="0" w:line="240" w:lineRule="auto"/>
      </w:pPr>
    </w:p>
    <w:p w14:paraId="2DD983CD" w14:textId="77777777" w:rsidR="0072711D" w:rsidRDefault="0072711D" w:rsidP="00FD5644">
      <w:pPr>
        <w:spacing w:after="0" w:line="240" w:lineRule="auto"/>
      </w:pPr>
    </w:p>
    <w:p w14:paraId="0CA221BF" w14:textId="77777777" w:rsidR="007B09F5" w:rsidRDefault="007B09F5" w:rsidP="00FD5644">
      <w:pPr>
        <w:spacing w:after="0" w:line="240" w:lineRule="auto"/>
      </w:pPr>
    </w:p>
    <w:p w14:paraId="42F560CC" w14:textId="77777777" w:rsidR="00FE318F" w:rsidRPr="007377F0" w:rsidRDefault="000B5287" w:rsidP="00FD5644">
      <w:pPr>
        <w:pStyle w:val="berschrift1"/>
        <w:spacing w:before="0" w:line="240" w:lineRule="auto"/>
        <w:jc w:val="center"/>
        <w:rPr>
          <w:rFonts w:asciiTheme="minorHAnsi" w:hAnsiTheme="minorHAnsi" w:cstheme="minorHAnsi"/>
          <w:b/>
          <w:color w:val="auto"/>
          <w:sz w:val="28"/>
          <w:szCs w:val="28"/>
        </w:rPr>
      </w:pPr>
      <w:bookmarkStart w:id="0" w:name="_Toc52205200"/>
      <w:r w:rsidRPr="007377F0">
        <w:rPr>
          <w:rFonts w:asciiTheme="minorHAnsi" w:hAnsiTheme="minorHAnsi" w:cstheme="minorHAnsi"/>
          <w:b/>
          <w:color w:val="auto"/>
          <w:sz w:val="28"/>
          <w:szCs w:val="28"/>
        </w:rPr>
        <w:t xml:space="preserve">§ 1 </w:t>
      </w:r>
      <w:r w:rsidR="00FD5644">
        <w:rPr>
          <w:rFonts w:asciiTheme="minorHAnsi" w:hAnsiTheme="minorHAnsi" w:cstheme="minorHAnsi"/>
          <w:b/>
          <w:color w:val="auto"/>
          <w:sz w:val="28"/>
          <w:szCs w:val="28"/>
        </w:rPr>
        <w:t xml:space="preserve">  </w:t>
      </w:r>
      <w:r w:rsidRPr="007377F0">
        <w:rPr>
          <w:rFonts w:asciiTheme="minorHAnsi" w:hAnsiTheme="minorHAnsi" w:cstheme="minorHAnsi"/>
          <w:b/>
          <w:color w:val="auto"/>
          <w:sz w:val="28"/>
          <w:szCs w:val="28"/>
        </w:rPr>
        <w:t xml:space="preserve">Allgemeine </w:t>
      </w:r>
      <w:r w:rsidR="00F80DFF" w:rsidRPr="007377F0">
        <w:rPr>
          <w:rFonts w:asciiTheme="minorHAnsi" w:hAnsiTheme="minorHAnsi" w:cstheme="minorHAnsi"/>
          <w:b/>
          <w:color w:val="auto"/>
          <w:sz w:val="28"/>
          <w:szCs w:val="28"/>
        </w:rPr>
        <w:t>Zielsetzung</w:t>
      </w:r>
      <w:bookmarkEnd w:id="0"/>
    </w:p>
    <w:p w14:paraId="5A8F45BA" w14:textId="77777777" w:rsidR="000B5287" w:rsidRDefault="000B5287" w:rsidP="00FD5644">
      <w:pPr>
        <w:spacing w:after="0" w:line="240" w:lineRule="auto"/>
      </w:pPr>
    </w:p>
    <w:p w14:paraId="4572E5AF" w14:textId="77777777" w:rsidR="003B423B" w:rsidRPr="00275CAF" w:rsidRDefault="003B423B" w:rsidP="00FD5644">
      <w:pPr>
        <w:pStyle w:val="Listenabsatz"/>
        <w:numPr>
          <w:ilvl w:val="0"/>
          <w:numId w:val="19"/>
        </w:numPr>
        <w:spacing w:after="0" w:line="240" w:lineRule="auto"/>
        <w:ind w:hanging="720"/>
        <w:jc w:val="both"/>
        <w:rPr>
          <w:sz w:val="24"/>
          <w:szCs w:val="24"/>
        </w:rPr>
      </w:pPr>
      <w:r w:rsidRPr="00275CAF">
        <w:rPr>
          <w:sz w:val="24"/>
          <w:szCs w:val="24"/>
        </w:rPr>
        <w:t xml:space="preserve">Um für möglichst viele </w:t>
      </w:r>
      <w:r w:rsidR="00125AB4" w:rsidRPr="00275CAF">
        <w:rPr>
          <w:sz w:val="24"/>
          <w:szCs w:val="24"/>
        </w:rPr>
        <w:t>Handelsu</w:t>
      </w:r>
      <w:r w:rsidRPr="00275CAF">
        <w:rPr>
          <w:sz w:val="24"/>
          <w:szCs w:val="24"/>
        </w:rPr>
        <w:t>nternehmen in Vorarlberg einen nachhaltigen</w:t>
      </w:r>
      <w:r w:rsidR="005D066A" w:rsidRPr="00275CAF">
        <w:rPr>
          <w:sz w:val="24"/>
          <w:szCs w:val="24"/>
        </w:rPr>
        <w:t xml:space="preserve"> </w:t>
      </w:r>
      <w:r w:rsidRPr="00275CAF">
        <w:rPr>
          <w:sz w:val="24"/>
          <w:szCs w:val="24"/>
        </w:rPr>
        <w:t xml:space="preserve">Digitalisierungsschub im Bereich E-Commerce zu ermöglichen, </w:t>
      </w:r>
      <w:r w:rsidR="00674878" w:rsidRPr="00275CAF">
        <w:rPr>
          <w:sz w:val="24"/>
          <w:szCs w:val="24"/>
        </w:rPr>
        <w:t>wurde</w:t>
      </w:r>
      <w:r w:rsidRPr="00275CAF">
        <w:rPr>
          <w:sz w:val="24"/>
          <w:szCs w:val="24"/>
        </w:rPr>
        <w:t xml:space="preserve"> </w:t>
      </w:r>
      <w:r w:rsidR="00164173" w:rsidRPr="00275CAF">
        <w:rPr>
          <w:sz w:val="24"/>
          <w:szCs w:val="24"/>
        </w:rPr>
        <w:t>das</w:t>
      </w:r>
      <w:r w:rsidR="005D066A" w:rsidRPr="00275CAF">
        <w:rPr>
          <w:sz w:val="24"/>
          <w:szCs w:val="24"/>
        </w:rPr>
        <w:t xml:space="preserve"> </w:t>
      </w:r>
      <w:r w:rsidRPr="00275CAF">
        <w:rPr>
          <w:sz w:val="24"/>
          <w:szCs w:val="24"/>
        </w:rPr>
        <w:t xml:space="preserve">Förderungsprogramm „E-Commerce Vorarlberg" </w:t>
      </w:r>
      <w:r w:rsidR="00674878" w:rsidRPr="00275CAF">
        <w:rPr>
          <w:sz w:val="24"/>
          <w:szCs w:val="24"/>
        </w:rPr>
        <w:t>geschaffen</w:t>
      </w:r>
      <w:r w:rsidRPr="00275CAF">
        <w:rPr>
          <w:sz w:val="24"/>
          <w:szCs w:val="24"/>
        </w:rPr>
        <w:t xml:space="preserve">. Das Förderungsprogramm </w:t>
      </w:r>
      <w:r w:rsidR="00A70ABE" w:rsidRPr="00275CAF">
        <w:rPr>
          <w:sz w:val="24"/>
          <w:szCs w:val="24"/>
        </w:rPr>
        <w:t xml:space="preserve">bietet </w:t>
      </w:r>
      <w:r w:rsidR="000B5287" w:rsidRPr="00275CAF">
        <w:rPr>
          <w:sz w:val="24"/>
          <w:szCs w:val="24"/>
        </w:rPr>
        <w:t>Kleinunternehmen</w:t>
      </w:r>
      <w:r w:rsidR="00FF6B55" w:rsidRPr="00275CAF">
        <w:rPr>
          <w:sz w:val="24"/>
          <w:szCs w:val="24"/>
        </w:rPr>
        <w:t xml:space="preserve"> in Vorarlberg</w:t>
      </w:r>
      <w:r w:rsidRPr="00275CAF">
        <w:rPr>
          <w:sz w:val="24"/>
          <w:szCs w:val="24"/>
        </w:rPr>
        <w:t xml:space="preserve"> </w:t>
      </w:r>
      <w:r w:rsidR="00A70ABE" w:rsidRPr="00275CAF">
        <w:rPr>
          <w:sz w:val="24"/>
          <w:szCs w:val="24"/>
        </w:rPr>
        <w:t>die Chance</w:t>
      </w:r>
      <w:r w:rsidR="000B5287" w:rsidRPr="00275CAF">
        <w:rPr>
          <w:sz w:val="24"/>
          <w:szCs w:val="24"/>
        </w:rPr>
        <w:t>,</w:t>
      </w:r>
      <w:r w:rsidR="00A70ABE" w:rsidRPr="00275CAF">
        <w:rPr>
          <w:sz w:val="24"/>
          <w:szCs w:val="24"/>
        </w:rPr>
        <w:t xml:space="preserve"> </w:t>
      </w:r>
      <w:r w:rsidRPr="00275CAF">
        <w:rPr>
          <w:sz w:val="24"/>
          <w:szCs w:val="24"/>
        </w:rPr>
        <w:t xml:space="preserve">das große Potenzial im Vertrieb und bei der Vermarktung </w:t>
      </w:r>
      <w:r w:rsidR="00384383" w:rsidRPr="00275CAF">
        <w:rPr>
          <w:sz w:val="24"/>
          <w:szCs w:val="24"/>
        </w:rPr>
        <w:t xml:space="preserve">durch Digitalisierung </w:t>
      </w:r>
      <w:r w:rsidR="00A70ABE" w:rsidRPr="00275CAF">
        <w:rPr>
          <w:sz w:val="24"/>
          <w:szCs w:val="24"/>
        </w:rPr>
        <w:t>zu nutzen</w:t>
      </w:r>
      <w:r w:rsidR="00384383" w:rsidRPr="00275CAF">
        <w:rPr>
          <w:sz w:val="24"/>
          <w:szCs w:val="24"/>
        </w:rPr>
        <w:t xml:space="preserve">. </w:t>
      </w:r>
      <w:r w:rsidR="001E47C4" w:rsidRPr="00275CAF">
        <w:rPr>
          <w:sz w:val="24"/>
          <w:szCs w:val="24"/>
        </w:rPr>
        <w:t>Das</w:t>
      </w:r>
      <w:r w:rsidRPr="00275CAF">
        <w:rPr>
          <w:sz w:val="24"/>
          <w:szCs w:val="24"/>
        </w:rPr>
        <w:t xml:space="preserve"> Förderungsprogramm </w:t>
      </w:r>
      <w:r w:rsidR="001E47C4" w:rsidRPr="00275CAF">
        <w:rPr>
          <w:sz w:val="24"/>
          <w:szCs w:val="24"/>
        </w:rPr>
        <w:t xml:space="preserve">schafft </w:t>
      </w:r>
      <w:r w:rsidRPr="00275CAF">
        <w:rPr>
          <w:sz w:val="24"/>
          <w:szCs w:val="24"/>
        </w:rPr>
        <w:t>ein</w:t>
      </w:r>
      <w:r w:rsidR="001E47C4" w:rsidRPr="00275CAF">
        <w:rPr>
          <w:sz w:val="24"/>
          <w:szCs w:val="24"/>
        </w:rPr>
        <w:t>en</w:t>
      </w:r>
      <w:r w:rsidRPr="00275CAF">
        <w:rPr>
          <w:sz w:val="24"/>
          <w:szCs w:val="24"/>
        </w:rPr>
        <w:t xml:space="preserve"> Anreiz,</w:t>
      </w:r>
      <w:r w:rsidR="0044034D" w:rsidRPr="00275CAF">
        <w:rPr>
          <w:sz w:val="24"/>
          <w:szCs w:val="24"/>
        </w:rPr>
        <w:t xml:space="preserve"> </w:t>
      </w:r>
      <w:r w:rsidRPr="00275CAF">
        <w:rPr>
          <w:sz w:val="24"/>
          <w:szCs w:val="24"/>
        </w:rPr>
        <w:t>Digitalisierungsprojekte im Bereich E-Commerce und M-Commerce umzusetzen und in den Markt</w:t>
      </w:r>
      <w:r w:rsidR="001022B5" w:rsidRPr="00275CAF">
        <w:rPr>
          <w:sz w:val="24"/>
          <w:szCs w:val="24"/>
        </w:rPr>
        <w:t xml:space="preserve"> </w:t>
      </w:r>
      <w:r w:rsidRPr="00275CAF">
        <w:rPr>
          <w:sz w:val="24"/>
          <w:szCs w:val="24"/>
        </w:rPr>
        <w:t xml:space="preserve">überzuführen. </w:t>
      </w:r>
      <w:r w:rsidR="00474A03" w:rsidRPr="00275CAF">
        <w:rPr>
          <w:sz w:val="24"/>
          <w:szCs w:val="24"/>
        </w:rPr>
        <w:t>Die F</w:t>
      </w:r>
      <w:r w:rsidR="005B52BE" w:rsidRPr="00275CAF">
        <w:rPr>
          <w:sz w:val="24"/>
          <w:szCs w:val="24"/>
        </w:rPr>
        <w:t xml:space="preserve">örderung </w:t>
      </w:r>
      <w:r w:rsidRPr="00275CAF">
        <w:rPr>
          <w:sz w:val="24"/>
          <w:szCs w:val="24"/>
        </w:rPr>
        <w:t>bietet Händlern die Chance, ihre</w:t>
      </w:r>
      <w:r w:rsidR="005B52BE" w:rsidRPr="00275CAF">
        <w:rPr>
          <w:sz w:val="24"/>
          <w:szCs w:val="24"/>
        </w:rPr>
        <w:t xml:space="preserve"> digitale</w:t>
      </w:r>
      <w:r w:rsidRPr="00275CAF">
        <w:rPr>
          <w:sz w:val="24"/>
          <w:szCs w:val="24"/>
        </w:rPr>
        <w:t xml:space="preserve"> Sichtbarkeit zu erhöhen und dadurch den</w:t>
      </w:r>
      <w:r w:rsidR="005B52BE" w:rsidRPr="00275CAF">
        <w:rPr>
          <w:sz w:val="24"/>
          <w:szCs w:val="24"/>
        </w:rPr>
        <w:t xml:space="preserve"> </w:t>
      </w:r>
      <w:r w:rsidR="00561F20" w:rsidRPr="00275CAF">
        <w:rPr>
          <w:sz w:val="24"/>
          <w:szCs w:val="24"/>
        </w:rPr>
        <w:t>potenziellen</w:t>
      </w:r>
      <w:r w:rsidRPr="00275CAF">
        <w:rPr>
          <w:sz w:val="24"/>
          <w:szCs w:val="24"/>
        </w:rPr>
        <w:t xml:space="preserve"> Kundenkreis zu erweitern</w:t>
      </w:r>
      <w:r w:rsidR="00B604C4" w:rsidRPr="00275CAF">
        <w:rPr>
          <w:sz w:val="24"/>
          <w:szCs w:val="24"/>
        </w:rPr>
        <w:t>,</w:t>
      </w:r>
      <w:r w:rsidRPr="00275CAF">
        <w:rPr>
          <w:sz w:val="24"/>
          <w:szCs w:val="24"/>
        </w:rPr>
        <w:t xml:space="preserve"> sowie den Anteil des Onlinehandels am Umsatz zu steigern.</w:t>
      </w:r>
      <w:r w:rsidR="005B52BE" w:rsidRPr="00275CAF">
        <w:rPr>
          <w:sz w:val="24"/>
          <w:szCs w:val="24"/>
        </w:rPr>
        <w:t xml:space="preserve"> </w:t>
      </w:r>
    </w:p>
    <w:p w14:paraId="63E240BD" w14:textId="77777777" w:rsidR="0076612E" w:rsidRPr="00275CAF" w:rsidRDefault="0076612E" w:rsidP="00FD5644">
      <w:pPr>
        <w:spacing w:after="0" w:line="240" w:lineRule="auto"/>
        <w:ind w:left="720" w:hanging="720"/>
        <w:jc w:val="both"/>
        <w:rPr>
          <w:sz w:val="24"/>
          <w:szCs w:val="24"/>
        </w:rPr>
      </w:pPr>
    </w:p>
    <w:p w14:paraId="79DA8E83" w14:textId="77777777" w:rsidR="007B09F5" w:rsidRPr="00FD5644" w:rsidRDefault="003B423B" w:rsidP="00FD5644">
      <w:pPr>
        <w:pStyle w:val="Listenabsatz"/>
        <w:numPr>
          <w:ilvl w:val="0"/>
          <w:numId w:val="19"/>
        </w:numPr>
        <w:spacing w:after="0" w:line="240" w:lineRule="auto"/>
        <w:ind w:hanging="720"/>
        <w:jc w:val="both"/>
        <w:rPr>
          <w:sz w:val="24"/>
          <w:szCs w:val="24"/>
        </w:rPr>
      </w:pPr>
      <w:r w:rsidRPr="00275CAF">
        <w:rPr>
          <w:sz w:val="24"/>
          <w:szCs w:val="24"/>
        </w:rPr>
        <w:t xml:space="preserve">Förderungsgeber </w:t>
      </w:r>
      <w:r w:rsidR="00494A86" w:rsidRPr="00275CAF">
        <w:rPr>
          <w:sz w:val="24"/>
          <w:szCs w:val="24"/>
        </w:rPr>
        <w:t>sind</w:t>
      </w:r>
      <w:r w:rsidRPr="00275CAF">
        <w:rPr>
          <w:sz w:val="24"/>
          <w:szCs w:val="24"/>
        </w:rPr>
        <w:t xml:space="preserve"> d</w:t>
      </w:r>
      <w:r w:rsidR="00494A86" w:rsidRPr="00275CAF">
        <w:rPr>
          <w:sz w:val="24"/>
          <w:szCs w:val="24"/>
        </w:rPr>
        <w:t xml:space="preserve">as Land Vorarlberg und die Wirtschaftskammer Vorarlberg. </w:t>
      </w:r>
    </w:p>
    <w:p w14:paraId="509A4175" w14:textId="77777777" w:rsidR="00791DDC" w:rsidRDefault="00791DDC" w:rsidP="00FD5644">
      <w:pPr>
        <w:pStyle w:val="berschrift1"/>
        <w:spacing w:before="0" w:line="240" w:lineRule="auto"/>
        <w:jc w:val="center"/>
        <w:rPr>
          <w:rFonts w:asciiTheme="minorHAnsi" w:hAnsiTheme="minorHAnsi" w:cstheme="minorHAnsi"/>
          <w:b/>
          <w:color w:val="auto"/>
          <w:sz w:val="24"/>
          <w:szCs w:val="24"/>
        </w:rPr>
      </w:pPr>
    </w:p>
    <w:p w14:paraId="48CE07BC" w14:textId="77777777" w:rsidR="00FD5644" w:rsidRPr="00FD5644" w:rsidRDefault="00FD5644" w:rsidP="00FD5644">
      <w:pPr>
        <w:spacing w:after="0"/>
        <w:rPr>
          <w:sz w:val="24"/>
          <w:szCs w:val="24"/>
        </w:rPr>
      </w:pPr>
    </w:p>
    <w:p w14:paraId="230B9628" w14:textId="77777777" w:rsidR="000B5287" w:rsidRPr="007377F0" w:rsidRDefault="000B5287" w:rsidP="00FD5644">
      <w:pPr>
        <w:pStyle w:val="berschrift1"/>
        <w:spacing w:before="0" w:line="240" w:lineRule="auto"/>
        <w:jc w:val="center"/>
        <w:rPr>
          <w:rFonts w:asciiTheme="minorHAnsi" w:hAnsiTheme="minorHAnsi" w:cstheme="minorHAnsi"/>
          <w:b/>
          <w:color w:val="auto"/>
          <w:sz w:val="28"/>
          <w:szCs w:val="28"/>
        </w:rPr>
      </w:pPr>
      <w:r w:rsidRPr="007377F0">
        <w:rPr>
          <w:rFonts w:asciiTheme="minorHAnsi" w:hAnsiTheme="minorHAnsi" w:cstheme="minorHAnsi"/>
          <w:b/>
          <w:color w:val="auto"/>
          <w:sz w:val="28"/>
          <w:szCs w:val="28"/>
        </w:rPr>
        <w:t xml:space="preserve">§ 2 </w:t>
      </w:r>
      <w:r w:rsidR="00FD5644">
        <w:rPr>
          <w:rFonts w:asciiTheme="minorHAnsi" w:hAnsiTheme="minorHAnsi" w:cstheme="minorHAnsi"/>
          <w:b/>
          <w:color w:val="auto"/>
          <w:sz w:val="28"/>
          <w:szCs w:val="28"/>
        </w:rPr>
        <w:t xml:space="preserve">  </w:t>
      </w:r>
      <w:r w:rsidRPr="007377F0">
        <w:rPr>
          <w:rFonts w:asciiTheme="minorHAnsi" w:hAnsiTheme="minorHAnsi" w:cstheme="minorHAnsi"/>
          <w:b/>
          <w:color w:val="auto"/>
          <w:sz w:val="28"/>
          <w:szCs w:val="28"/>
        </w:rPr>
        <w:t>Antragsberechtigte Unternehmen</w:t>
      </w:r>
    </w:p>
    <w:p w14:paraId="0E8C54BA" w14:textId="77777777" w:rsidR="000B5287" w:rsidRDefault="000B5287" w:rsidP="00FD5644">
      <w:pPr>
        <w:spacing w:after="0" w:line="240" w:lineRule="auto"/>
      </w:pPr>
    </w:p>
    <w:p w14:paraId="389B0F08" w14:textId="77777777" w:rsidR="001022B5" w:rsidRPr="00275CAF" w:rsidRDefault="001022B5" w:rsidP="00FD5644">
      <w:pPr>
        <w:pStyle w:val="Listenabsatz"/>
        <w:numPr>
          <w:ilvl w:val="0"/>
          <w:numId w:val="20"/>
        </w:numPr>
        <w:spacing w:after="0" w:line="240" w:lineRule="auto"/>
        <w:ind w:hanging="720"/>
        <w:jc w:val="both"/>
        <w:rPr>
          <w:sz w:val="24"/>
          <w:szCs w:val="24"/>
        </w:rPr>
      </w:pPr>
      <w:r w:rsidRPr="00275CAF">
        <w:rPr>
          <w:sz w:val="24"/>
          <w:szCs w:val="24"/>
        </w:rPr>
        <w:t xml:space="preserve">Förderungswerber sind </w:t>
      </w:r>
      <w:r w:rsidR="000B5287" w:rsidRPr="00275CAF">
        <w:rPr>
          <w:sz w:val="24"/>
          <w:szCs w:val="24"/>
        </w:rPr>
        <w:t xml:space="preserve">kleine </w:t>
      </w:r>
      <w:r w:rsidR="00A6609B" w:rsidRPr="00275CAF">
        <w:rPr>
          <w:sz w:val="24"/>
          <w:szCs w:val="24"/>
        </w:rPr>
        <w:t>Handelsb</w:t>
      </w:r>
      <w:r w:rsidR="000B5287" w:rsidRPr="00275CAF">
        <w:rPr>
          <w:sz w:val="24"/>
          <w:szCs w:val="24"/>
        </w:rPr>
        <w:t xml:space="preserve">etriebe, die </w:t>
      </w:r>
      <w:r w:rsidR="001F680B" w:rsidRPr="00275CAF">
        <w:rPr>
          <w:sz w:val="24"/>
          <w:szCs w:val="24"/>
        </w:rPr>
        <w:t xml:space="preserve">Mitglied in der Sparte Handel der Wirtschaftskammer Vorarlberg </w:t>
      </w:r>
      <w:r w:rsidR="000B5287" w:rsidRPr="00275CAF">
        <w:rPr>
          <w:sz w:val="24"/>
          <w:szCs w:val="24"/>
        </w:rPr>
        <w:t xml:space="preserve">sind. </w:t>
      </w:r>
    </w:p>
    <w:p w14:paraId="2F9C66DF" w14:textId="77777777" w:rsidR="0076612E" w:rsidRPr="00275CAF" w:rsidRDefault="0076612E" w:rsidP="00FD5644">
      <w:pPr>
        <w:spacing w:after="0" w:line="240" w:lineRule="auto"/>
        <w:ind w:hanging="720"/>
        <w:jc w:val="both"/>
        <w:rPr>
          <w:sz w:val="24"/>
          <w:szCs w:val="24"/>
        </w:rPr>
      </w:pPr>
    </w:p>
    <w:p w14:paraId="1E233EFF" w14:textId="77777777" w:rsidR="002907F7" w:rsidRPr="00275CAF" w:rsidRDefault="002907F7" w:rsidP="00FD5644">
      <w:pPr>
        <w:pStyle w:val="Textkrper-Zeileneinzug"/>
        <w:numPr>
          <w:ilvl w:val="0"/>
          <w:numId w:val="20"/>
        </w:numPr>
        <w:ind w:hanging="720"/>
        <w:jc w:val="both"/>
        <w:rPr>
          <w:rFonts w:ascii="Calibri" w:hAnsi="Calibri"/>
          <w:szCs w:val="24"/>
        </w:rPr>
      </w:pPr>
      <w:r w:rsidRPr="00275CAF">
        <w:rPr>
          <w:rFonts w:ascii="Calibri" w:hAnsi="Calibri"/>
          <w:szCs w:val="24"/>
        </w:rPr>
        <w:t>Als Kleinunternehmen im Sinne dieser Richtlinie gelten Unternehmen, die weniger als 50 Personen beschäftigen</w:t>
      </w:r>
      <w:r w:rsidR="00121875" w:rsidRPr="00275CAF">
        <w:rPr>
          <w:rFonts w:ascii="Calibri" w:hAnsi="Calibri"/>
          <w:szCs w:val="24"/>
        </w:rPr>
        <w:t xml:space="preserve"> und</w:t>
      </w:r>
      <w:r w:rsidRPr="00275CAF">
        <w:rPr>
          <w:rFonts w:ascii="Calibri" w:hAnsi="Calibri"/>
          <w:szCs w:val="24"/>
        </w:rPr>
        <w:t xml:space="preserve"> einen Jahresumsatz von höchstens </w:t>
      </w:r>
      <w:r w:rsidR="00AD3B31">
        <w:rPr>
          <w:rFonts w:ascii="Calibri" w:hAnsi="Calibri"/>
          <w:szCs w:val="24"/>
        </w:rPr>
        <w:t>€ </w:t>
      </w:r>
      <w:r w:rsidRPr="00275CAF">
        <w:rPr>
          <w:rFonts w:ascii="Calibri" w:hAnsi="Calibri"/>
          <w:szCs w:val="24"/>
        </w:rPr>
        <w:t>10 Mio.</w:t>
      </w:r>
      <w:r w:rsidR="001A254B" w:rsidRPr="00275CAF">
        <w:rPr>
          <w:rFonts w:ascii="Calibri" w:hAnsi="Calibri"/>
          <w:szCs w:val="24"/>
        </w:rPr>
        <w:t xml:space="preserve"> </w:t>
      </w:r>
      <w:r w:rsidRPr="00275CAF">
        <w:rPr>
          <w:rFonts w:ascii="Calibri" w:hAnsi="Calibri"/>
          <w:szCs w:val="24"/>
        </w:rPr>
        <w:t xml:space="preserve">erzielen oder eine Jahresbilanzsumme von höchstens </w:t>
      </w:r>
      <w:r w:rsidR="00AD3B31">
        <w:rPr>
          <w:rFonts w:ascii="Calibri" w:hAnsi="Calibri"/>
          <w:szCs w:val="24"/>
        </w:rPr>
        <w:t>€ </w:t>
      </w:r>
      <w:r w:rsidRPr="00275CAF">
        <w:rPr>
          <w:rFonts w:ascii="Calibri" w:hAnsi="Calibri"/>
          <w:szCs w:val="24"/>
        </w:rPr>
        <w:t>10 Mio.</w:t>
      </w:r>
      <w:r w:rsidR="001A254B" w:rsidRPr="00275CAF">
        <w:rPr>
          <w:rFonts w:ascii="Calibri" w:hAnsi="Calibri"/>
          <w:szCs w:val="24"/>
        </w:rPr>
        <w:t xml:space="preserve"> </w:t>
      </w:r>
      <w:r w:rsidRPr="00275CAF">
        <w:rPr>
          <w:rFonts w:ascii="Calibri" w:hAnsi="Calibri"/>
          <w:szCs w:val="24"/>
        </w:rPr>
        <w:t>erreichen. Das Unternehmen muss überdies die Bedingung der Unabhängigkeit erfüllen. Ein unabhängiges Unternehmen ist jedes Unternehmen, bei dem weniger als 25</w:t>
      </w:r>
      <w:r w:rsidR="00AD3B31">
        <w:rPr>
          <w:rFonts w:ascii="Calibri" w:hAnsi="Calibri"/>
          <w:szCs w:val="24"/>
        </w:rPr>
        <w:t> </w:t>
      </w:r>
      <w:r w:rsidRPr="00275CAF">
        <w:rPr>
          <w:rFonts w:ascii="Calibri" w:hAnsi="Calibri"/>
          <w:szCs w:val="24"/>
        </w:rPr>
        <w:t>% des Kapitals oder der Stimmrechte von einem oder mehreren anderen Unternehmen gehalten werden (Art.</w:t>
      </w:r>
      <w:r w:rsidR="00AD3B31">
        <w:rPr>
          <w:rFonts w:ascii="Calibri" w:hAnsi="Calibri"/>
          <w:szCs w:val="24"/>
        </w:rPr>
        <w:t> </w:t>
      </w:r>
      <w:r w:rsidRPr="00275CAF">
        <w:rPr>
          <w:rFonts w:ascii="Calibri" w:hAnsi="Calibri"/>
          <w:szCs w:val="24"/>
        </w:rPr>
        <w:t xml:space="preserve">3 Empfehlung der Kommission </w:t>
      </w:r>
      <w:proofErr w:type="gramStart"/>
      <w:r w:rsidRPr="00275CAF">
        <w:rPr>
          <w:rFonts w:ascii="Calibri" w:hAnsi="Calibri"/>
          <w:szCs w:val="24"/>
        </w:rPr>
        <w:t>K(</w:t>
      </w:r>
      <w:proofErr w:type="gramEnd"/>
      <w:r w:rsidRPr="00275CAF">
        <w:rPr>
          <w:rFonts w:ascii="Calibri" w:hAnsi="Calibri"/>
          <w:szCs w:val="24"/>
        </w:rPr>
        <w:t>2003)</w:t>
      </w:r>
      <w:r w:rsidR="00AD3B31">
        <w:rPr>
          <w:rFonts w:ascii="Calibri" w:hAnsi="Calibri"/>
          <w:szCs w:val="24"/>
        </w:rPr>
        <w:t> </w:t>
      </w:r>
      <w:r w:rsidRPr="00275CAF">
        <w:rPr>
          <w:rFonts w:ascii="Calibri" w:hAnsi="Calibri"/>
          <w:szCs w:val="24"/>
        </w:rPr>
        <w:t xml:space="preserve">1422). </w:t>
      </w:r>
    </w:p>
    <w:p w14:paraId="49348923" w14:textId="77777777" w:rsidR="000B5287" w:rsidRPr="00275CAF" w:rsidRDefault="000B5287" w:rsidP="00FD5644">
      <w:pPr>
        <w:spacing w:after="0" w:line="240" w:lineRule="auto"/>
        <w:rPr>
          <w:sz w:val="24"/>
          <w:szCs w:val="24"/>
        </w:rPr>
      </w:pPr>
    </w:p>
    <w:p w14:paraId="7F7DEF02" w14:textId="77777777" w:rsidR="007B09F5" w:rsidRDefault="007B09F5" w:rsidP="00FD5644">
      <w:pPr>
        <w:spacing w:after="0" w:line="240" w:lineRule="auto"/>
      </w:pPr>
    </w:p>
    <w:p w14:paraId="1D472421" w14:textId="77777777" w:rsidR="002907F7" w:rsidRPr="007377F0" w:rsidRDefault="002907F7" w:rsidP="00FD5644">
      <w:pPr>
        <w:pStyle w:val="berschrift1"/>
        <w:spacing w:before="0" w:line="240" w:lineRule="auto"/>
        <w:jc w:val="center"/>
        <w:rPr>
          <w:rFonts w:asciiTheme="minorHAnsi" w:hAnsiTheme="minorHAnsi" w:cstheme="minorHAnsi"/>
          <w:b/>
          <w:color w:val="auto"/>
          <w:sz w:val="28"/>
          <w:szCs w:val="28"/>
        </w:rPr>
      </w:pPr>
      <w:r w:rsidRPr="007377F0">
        <w:rPr>
          <w:rFonts w:asciiTheme="minorHAnsi" w:hAnsiTheme="minorHAnsi" w:cstheme="minorHAnsi"/>
          <w:b/>
          <w:color w:val="auto"/>
          <w:sz w:val="28"/>
          <w:szCs w:val="28"/>
        </w:rPr>
        <w:t xml:space="preserve">§ 3 </w:t>
      </w:r>
      <w:r w:rsidR="00FD5644">
        <w:rPr>
          <w:rFonts w:asciiTheme="minorHAnsi" w:hAnsiTheme="minorHAnsi" w:cstheme="minorHAnsi"/>
          <w:b/>
          <w:color w:val="auto"/>
          <w:sz w:val="28"/>
          <w:szCs w:val="28"/>
        </w:rPr>
        <w:t xml:space="preserve">  </w:t>
      </w:r>
      <w:r w:rsidRPr="007377F0">
        <w:rPr>
          <w:rFonts w:asciiTheme="minorHAnsi" w:hAnsiTheme="minorHAnsi" w:cstheme="minorHAnsi"/>
          <w:b/>
          <w:color w:val="auto"/>
          <w:sz w:val="28"/>
          <w:szCs w:val="28"/>
        </w:rPr>
        <w:t>Förderschwerpunkte</w:t>
      </w:r>
    </w:p>
    <w:p w14:paraId="4D41B7F7" w14:textId="77777777" w:rsidR="002907F7" w:rsidRDefault="002907F7" w:rsidP="00FD5644">
      <w:pPr>
        <w:spacing w:after="0" w:line="240" w:lineRule="auto"/>
        <w:jc w:val="both"/>
      </w:pPr>
    </w:p>
    <w:p w14:paraId="6D3B5E7D" w14:textId="77777777" w:rsidR="001022B5" w:rsidRPr="00275CAF" w:rsidRDefault="001022B5" w:rsidP="00FD5644">
      <w:pPr>
        <w:pStyle w:val="Listenabsatz"/>
        <w:numPr>
          <w:ilvl w:val="0"/>
          <w:numId w:val="21"/>
        </w:numPr>
        <w:spacing w:after="0" w:line="240" w:lineRule="auto"/>
        <w:ind w:hanging="720"/>
        <w:jc w:val="both"/>
        <w:rPr>
          <w:sz w:val="24"/>
          <w:szCs w:val="24"/>
        </w:rPr>
      </w:pPr>
      <w:r w:rsidRPr="00275CAF">
        <w:rPr>
          <w:sz w:val="24"/>
          <w:szCs w:val="24"/>
        </w:rPr>
        <w:t>Mit dem geg</w:t>
      </w:r>
      <w:r w:rsidR="005C519B" w:rsidRPr="00275CAF">
        <w:rPr>
          <w:sz w:val="24"/>
          <w:szCs w:val="24"/>
        </w:rPr>
        <w:t>e</w:t>
      </w:r>
      <w:r w:rsidRPr="00275CAF">
        <w:rPr>
          <w:sz w:val="24"/>
          <w:szCs w:val="24"/>
        </w:rPr>
        <w:t>nständlichen Förderungsprogramm sollen E-Commerce-Projekte angeregt</w:t>
      </w:r>
      <w:r w:rsidR="005C519B" w:rsidRPr="00275CAF">
        <w:rPr>
          <w:sz w:val="24"/>
          <w:szCs w:val="24"/>
        </w:rPr>
        <w:t xml:space="preserve"> </w:t>
      </w:r>
      <w:r w:rsidRPr="00275CAF">
        <w:rPr>
          <w:sz w:val="24"/>
          <w:szCs w:val="24"/>
        </w:rPr>
        <w:t>werden, um die Potenziale de</w:t>
      </w:r>
      <w:r w:rsidR="005C519B" w:rsidRPr="00275CAF">
        <w:rPr>
          <w:sz w:val="24"/>
          <w:szCs w:val="24"/>
        </w:rPr>
        <w:t>r Digitalisierung</w:t>
      </w:r>
      <w:r w:rsidRPr="00275CAF">
        <w:rPr>
          <w:sz w:val="24"/>
          <w:szCs w:val="24"/>
        </w:rPr>
        <w:t xml:space="preserve"> vollumfänglich zu nutzen.</w:t>
      </w:r>
    </w:p>
    <w:p w14:paraId="19A4C07F" w14:textId="77777777" w:rsidR="00B15E5F" w:rsidRPr="00275CAF" w:rsidRDefault="00B15E5F" w:rsidP="00FD5644">
      <w:pPr>
        <w:spacing w:after="0" w:line="240" w:lineRule="auto"/>
        <w:ind w:hanging="720"/>
        <w:jc w:val="both"/>
        <w:rPr>
          <w:sz w:val="24"/>
          <w:szCs w:val="24"/>
        </w:rPr>
      </w:pPr>
    </w:p>
    <w:p w14:paraId="60798EF1" w14:textId="77777777" w:rsidR="001022B5" w:rsidRPr="00275CAF" w:rsidRDefault="001022B5" w:rsidP="00FD5644">
      <w:pPr>
        <w:pStyle w:val="Listenabsatz"/>
        <w:numPr>
          <w:ilvl w:val="0"/>
          <w:numId w:val="21"/>
        </w:numPr>
        <w:spacing w:after="0" w:line="240" w:lineRule="auto"/>
        <w:ind w:hanging="720"/>
        <w:jc w:val="both"/>
        <w:rPr>
          <w:sz w:val="24"/>
          <w:szCs w:val="24"/>
        </w:rPr>
      </w:pPr>
      <w:r w:rsidRPr="00275CAF">
        <w:rPr>
          <w:sz w:val="24"/>
          <w:szCs w:val="24"/>
        </w:rPr>
        <w:t>Gegenstand der Förderung ist die Umsetzung von E-Commerce-Projekten durch</w:t>
      </w:r>
      <w:r w:rsidR="005C519B" w:rsidRPr="00275CAF">
        <w:rPr>
          <w:sz w:val="24"/>
          <w:szCs w:val="24"/>
        </w:rPr>
        <w:t xml:space="preserve"> </w:t>
      </w:r>
      <w:r w:rsidRPr="00275CAF">
        <w:rPr>
          <w:sz w:val="24"/>
          <w:szCs w:val="24"/>
        </w:rPr>
        <w:t>Neuinvestitionen sowie damit in Zusammenhang stehende Leistungen externer Anbieter (z.B.</w:t>
      </w:r>
      <w:r w:rsidR="005C519B" w:rsidRPr="00275CAF">
        <w:rPr>
          <w:sz w:val="24"/>
          <w:szCs w:val="24"/>
        </w:rPr>
        <w:t xml:space="preserve"> Beratungsleistungen, </w:t>
      </w:r>
      <w:r w:rsidRPr="00275CAF">
        <w:rPr>
          <w:sz w:val="24"/>
          <w:szCs w:val="24"/>
        </w:rPr>
        <w:t>Programmiertätigkeiten, [Cloud-]Softwarelizenzen, Dienstleistungsgesamtpakete, M-Commerce</w:t>
      </w:r>
      <w:r w:rsidR="005C519B" w:rsidRPr="00275CAF">
        <w:rPr>
          <w:sz w:val="24"/>
          <w:szCs w:val="24"/>
        </w:rPr>
        <w:t xml:space="preserve"> </w:t>
      </w:r>
      <w:r w:rsidRPr="00275CAF">
        <w:rPr>
          <w:sz w:val="24"/>
          <w:szCs w:val="24"/>
        </w:rPr>
        <w:t xml:space="preserve">Optimierung), die in </w:t>
      </w:r>
      <w:r w:rsidRPr="00275CAF">
        <w:rPr>
          <w:sz w:val="24"/>
          <w:szCs w:val="24"/>
        </w:rPr>
        <w:lastRenderedPageBreak/>
        <w:t xml:space="preserve">einer Betriebsstätte in </w:t>
      </w:r>
      <w:r w:rsidR="002907F7" w:rsidRPr="00275CAF">
        <w:rPr>
          <w:sz w:val="24"/>
          <w:szCs w:val="24"/>
        </w:rPr>
        <w:t>Vorarlberg</w:t>
      </w:r>
      <w:r w:rsidRPr="00275CAF">
        <w:rPr>
          <w:sz w:val="24"/>
          <w:szCs w:val="24"/>
        </w:rPr>
        <w:t xml:space="preserve"> realisiert werden und die einen</w:t>
      </w:r>
      <w:r w:rsidR="005C519B" w:rsidRPr="00275CAF">
        <w:rPr>
          <w:sz w:val="24"/>
          <w:szCs w:val="24"/>
        </w:rPr>
        <w:t xml:space="preserve"> </w:t>
      </w:r>
      <w:r w:rsidRPr="00275CAF">
        <w:rPr>
          <w:sz w:val="24"/>
          <w:szCs w:val="24"/>
        </w:rPr>
        <w:t>wesentlichen Beitrag zur Erreichung</w:t>
      </w:r>
      <w:r w:rsidR="00125AB4" w:rsidRPr="00275CAF">
        <w:rPr>
          <w:sz w:val="24"/>
          <w:szCs w:val="24"/>
        </w:rPr>
        <w:t xml:space="preserve"> einem oder mehrerer der</w:t>
      </w:r>
      <w:r w:rsidRPr="00275CAF">
        <w:rPr>
          <w:sz w:val="24"/>
          <w:szCs w:val="24"/>
        </w:rPr>
        <w:t xml:space="preserve"> folgende</w:t>
      </w:r>
      <w:r w:rsidR="00125AB4" w:rsidRPr="00275CAF">
        <w:rPr>
          <w:sz w:val="24"/>
          <w:szCs w:val="24"/>
        </w:rPr>
        <w:t>n</w:t>
      </w:r>
      <w:r w:rsidRPr="00275CAF">
        <w:rPr>
          <w:sz w:val="24"/>
          <w:szCs w:val="24"/>
        </w:rPr>
        <w:t xml:space="preserve"> Ziele leisten:</w:t>
      </w:r>
    </w:p>
    <w:p w14:paraId="326DA658" w14:textId="77777777" w:rsidR="0076612E" w:rsidRDefault="0076612E" w:rsidP="00FD5644">
      <w:pPr>
        <w:spacing w:after="0" w:line="240" w:lineRule="auto"/>
        <w:jc w:val="both"/>
      </w:pPr>
    </w:p>
    <w:p w14:paraId="33933BEF" w14:textId="77777777" w:rsidR="001022B5" w:rsidRPr="00275CAF" w:rsidRDefault="001022B5" w:rsidP="00FD5644">
      <w:pPr>
        <w:pStyle w:val="Listenabsatz"/>
        <w:numPr>
          <w:ilvl w:val="0"/>
          <w:numId w:val="1"/>
        </w:numPr>
        <w:spacing w:after="0" w:line="240" w:lineRule="auto"/>
        <w:ind w:left="993" w:hanging="284"/>
        <w:jc w:val="both"/>
        <w:rPr>
          <w:sz w:val="24"/>
          <w:szCs w:val="24"/>
        </w:rPr>
      </w:pPr>
      <w:r w:rsidRPr="00275CAF">
        <w:rPr>
          <w:sz w:val="24"/>
          <w:szCs w:val="24"/>
        </w:rPr>
        <w:t xml:space="preserve">Aufbau </w:t>
      </w:r>
      <w:r w:rsidR="005C519B" w:rsidRPr="00275CAF">
        <w:rPr>
          <w:sz w:val="24"/>
          <w:szCs w:val="24"/>
        </w:rPr>
        <w:t xml:space="preserve">einer </w:t>
      </w:r>
      <w:r w:rsidRPr="00275CAF">
        <w:rPr>
          <w:sz w:val="24"/>
          <w:szCs w:val="24"/>
        </w:rPr>
        <w:t>professionelle</w:t>
      </w:r>
      <w:r w:rsidR="005C519B" w:rsidRPr="00275CAF">
        <w:rPr>
          <w:sz w:val="24"/>
          <w:szCs w:val="24"/>
        </w:rPr>
        <w:t>n</w:t>
      </w:r>
      <w:r w:rsidRPr="00275CAF">
        <w:rPr>
          <w:sz w:val="24"/>
          <w:szCs w:val="24"/>
        </w:rPr>
        <w:t xml:space="preserve"> lnternetpräsenz </w:t>
      </w:r>
      <w:r w:rsidR="002E1CB8" w:rsidRPr="00275CAF">
        <w:rPr>
          <w:sz w:val="24"/>
          <w:szCs w:val="24"/>
        </w:rPr>
        <w:t>(inkl. Aufbau, Nutzu</w:t>
      </w:r>
      <w:r w:rsidR="00FD5644">
        <w:rPr>
          <w:sz w:val="24"/>
          <w:szCs w:val="24"/>
        </w:rPr>
        <w:t xml:space="preserve">ng und Betrieb von </w:t>
      </w:r>
      <w:proofErr w:type="gramStart"/>
      <w:r w:rsidR="00FD5644">
        <w:rPr>
          <w:sz w:val="24"/>
          <w:szCs w:val="24"/>
        </w:rPr>
        <w:t xml:space="preserve">Social Media </w:t>
      </w:r>
      <w:r w:rsidR="002E1CB8" w:rsidRPr="00275CAF">
        <w:rPr>
          <w:sz w:val="24"/>
          <w:szCs w:val="24"/>
        </w:rPr>
        <w:t>Kanälen</w:t>
      </w:r>
      <w:proofErr w:type="gramEnd"/>
      <w:r w:rsidR="002E1CB8" w:rsidRPr="00275CAF">
        <w:rPr>
          <w:sz w:val="24"/>
          <w:szCs w:val="24"/>
        </w:rPr>
        <w:t xml:space="preserve">) </w:t>
      </w:r>
      <w:r w:rsidR="00B14CAA">
        <w:rPr>
          <w:sz w:val="24"/>
          <w:szCs w:val="24"/>
        </w:rPr>
        <w:t>im Zusammenhang mit E-Commerce-Lösungen</w:t>
      </w:r>
    </w:p>
    <w:p w14:paraId="326F21FB" w14:textId="77777777" w:rsidR="001022B5" w:rsidRPr="00275CAF" w:rsidRDefault="001022B5" w:rsidP="00FD5644">
      <w:pPr>
        <w:pStyle w:val="Listenabsatz"/>
        <w:numPr>
          <w:ilvl w:val="0"/>
          <w:numId w:val="1"/>
        </w:numPr>
        <w:spacing w:after="0" w:line="240" w:lineRule="auto"/>
        <w:ind w:left="993" w:hanging="284"/>
        <w:jc w:val="both"/>
        <w:rPr>
          <w:sz w:val="24"/>
          <w:szCs w:val="24"/>
        </w:rPr>
      </w:pPr>
      <w:r w:rsidRPr="00275CAF">
        <w:rPr>
          <w:sz w:val="24"/>
          <w:szCs w:val="24"/>
        </w:rPr>
        <w:t>Einführung und Ausbau von Online-Shops sowie Nutzung von Auktions- Verkaufs- oder</w:t>
      </w:r>
      <w:r w:rsidR="005C519B" w:rsidRPr="00275CAF">
        <w:rPr>
          <w:sz w:val="24"/>
          <w:szCs w:val="24"/>
        </w:rPr>
        <w:t xml:space="preserve"> </w:t>
      </w:r>
      <w:r w:rsidRPr="00275CAF">
        <w:rPr>
          <w:sz w:val="24"/>
          <w:szCs w:val="24"/>
        </w:rPr>
        <w:t>Dienstleistungsplattformen, Social Media Tools, Website-Monitoring und Content-Marketing</w:t>
      </w:r>
    </w:p>
    <w:p w14:paraId="6C777212" w14:textId="77777777" w:rsidR="001022B5" w:rsidRPr="00275CAF" w:rsidRDefault="001022B5" w:rsidP="00FD5644">
      <w:pPr>
        <w:pStyle w:val="Listenabsatz"/>
        <w:numPr>
          <w:ilvl w:val="0"/>
          <w:numId w:val="1"/>
        </w:numPr>
        <w:spacing w:after="0" w:line="240" w:lineRule="auto"/>
        <w:ind w:left="993" w:hanging="284"/>
        <w:jc w:val="both"/>
        <w:rPr>
          <w:sz w:val="24"/>
          <w:szCs w:val="24"/>
        </w:rPr>
      </w:pPr>
      <w:r w:rsidRPr="00275CAF">
        <w:rPr>
          <w:sz w:val="24"/>
          <w:szCs w:val="24"/>
        </w:rPr>
        <w:t>Einrichtung und Optimierung von Onlineshops im Hinblick auf M-Commerce und deren</w:t>
      </w:r>
      <w:r w:rsidR="005C519B" w:rsidRPr="00275CAF">
        <w:rPr>
          <w:sz w:val="24"/>
          <w:szCs w:val="24"/>
        </w:rPr>
        <w:t xml:space="preserve"> </w:t>
      </w:r>
      <w:r w:rsidRPr="00275CAF">
        <w:rPr>
          <w:sz w:val="24"/>
          <w:szCs w:val="24"/>
        </w:rPr>
        <w:t>Nutzerfreundlichkeit</w:t>
      </w:r>
    </w:p>
    <w:p w14:paraId="3D601F37" w14:textId="77777777" w:rsidR="001022B5" w:rsidRPr="00275CAF" w:rsidRDefault="001022B5" w:rsidP="00FD5644">
      <w:pPr>
        <w:pStyle w:val="Listenabsatz"/>
        <w:numPr>
          <w:ilvl w:val="0"/>
          <w:numId w:val="1"/>
        </w:numPr>
        <w:spacing w:after="0" w:line="240" w:lineRule="auto"/>
        <w:ind w:left="993" w:hanging="284"/>
        <w:jc w:val="both"/>
        <w:rPr>
          <w:sz w:val="24"/>
          <w:szCs w:val="24"/>
        </w:rPr>
      </w:pPr>
      <w:r w:rsidRPr="00275CAF">
        <w:rPr>
          <w:sz w:val="24"/>
          <w:szCs w:val="24"/>
        </w:rPr>
        <w:t>Unterstützung bei E-Commerce Geschäftsprozessen (Warenbereitstellung, Logistik,</w:t>
      </w:r>
      <w:r w:rsidR="005C519B" w:rsidRPr="00275CAF">
        <w:rPr>
          <w:sz w:val="24"/>
          <w:szCs w:val="24"/>
        </w:rPr>
        <w:t xml:space="preserve"> </w:t>
      </w:r>
      <w:r w:rsidRPr="00275CAF">
        <w:rPr>
          <w:sz w:val="24"/>
          <w:szCs w:val="24"/>
        </w:rPr>
        <w:t>Zahlungsverfahren, CRM)</w:t>
      </w:r>
    </w:p>
    <w:p w14:paraId="2B9A526E" w14:textId="77777777" w:rsidR="005C519B" w:rsidRPr="00275CAF" w:rsidRDefault="00A6609B" w:rsidP="00FD5644">
      <w:pPr>
        <w:pStyle w:val="Listenabsatz"/>
        <w:numPr>
          <w:ilvl w:val="0"/>
          <w:numId w:val="1"/>
        </w:numPr>
        <w:spacing w:after="0" w:line="240" w:lineRule="auto"/>
        <w:ind w:left="993" w:hanging="284"/>
        <w:jc w:val="both"/>
        <w:rPr>
          <w:sz w:val="24"/>
          <w:szCs w:val="24"/>
        </w:rPr>
      </w:pPr>
      <w:r w:rsidRPr="00275CAF">
        <w:rPr>
          <w:sz w:val="24"/>
          <w:szCs w:val="24"/>
        </w:rPr>
        <w:t>IT-Security und</w:t>
      </w:r>
      <w:r w:rsidR="001022B5" w:rsidRPr="00275CAF">
        <w:rPr>
          <w:sz w:val="24"/>
          <w:szCs w:val="24"/>
        </w:rPr>
        <w:t xml:space="preserve"> Schutz vor Cyberattacken </w:t>
      </w:r>
      <w:r w:rsidRPr="00275CAF">
        <w:rPr>
          <w:sz w:val="24"/>
          <w:szCs w:val="24"/>
        </w:rPr>
        <w:t>im Zusammenhang mit</w:t>
      </w:r>
      <w:r w:rsidR="001022B5" w:rsidRPr="00275CAF">
        <w:rPr>
          <w:sz w:val="24"/>
          <w:szCs w:val="24"/>
        </w:rPr>
        <w:t xml:space="preserve"> E-Commerce-Lösungen</w:t>
      </w:r>
    </w:p>
    <w:p w14:paraId="5A590A72" w14:textId="77777777" w:rsidR="001022B5" w:rsidRPr="00275CAF" w:rsidRDefault="001022B5" w:rsidP="00FD5644">
      <w:pPr>
        <w:pStyle w:val="Listenabsatz"/>
        <w:numPr>
          <w:ilvl w:val="0"/>
          <w:numId w:val="1"/>
        </w:numPr>
        <w:spacing w:after="0" w:line="240" w:lineRule="auto"/>
        <w:ind w:left="993" w:hanging="284"/>
        <w:jc w:val="both"/>
        <w:rPr>
          <w:sz w:val="24"/>
          <w:szCs w:val="24"/>
        </w:rPr>
      </w:pPr>
      <w:r w:rsidRPr="00275CAF">
        <w:rPr>
          <w:sz w:val="24"/>
          <w:szCs w:val="24"/>
        </w:rPr>
        <w:t>Einrichtung bzw. Verwendung von am Markt verf</w:t>
      </w:r>
      <w:r w:rsidR="005C519B" w:rsidRPr="00275CAF">
        <w:rPr>
          <w:sz w:val="24"/>
          <w:szCs w:val="24"/>
        </w:rPr>
        <w:t>ü</w:t>
      </w:r>
      <w:r w:rsidRPr="00275CAF">
        <w:rPr>
          <w:sz w:val="24"/>
          <w:szCs w:val="24"/>
        </w:rPr>
        <w:t>gbaren E-Commerce Gütezeichen</w:t>
      </w:r>
    </w:p>
    <w:p w14:paraId="24F29201" w14:textId="77777777" w:rsidR="00A04323" w:rsidRPr="00275CAF" w:rsidRDefault="00A04323" w:rsidP="00FD5644">
      <w:pPr>
        <w:spacing w:after="0" w:line="240" w:lineRule="auto"/>
        <w:jc w:val="both"/>
        <w:rPr>
          <w:sz w:val="24"/>
          <w:szCs w:val="24"/>
        </w:rPr>
      </w:pPr>
    </w:p>
    <w:p w14:paraId="08D7FAFF" w14:textId="77777777" w:rsidR="007B09F5" w:rsidRDefault="007B09F5" w:rsidP="00FD5644">
      <w:pPr>
        <w:spacing w:after="0" w:line="240" w:lineRule="auto"/>
      </w:pPr>
    </w:p>
    <w:p w14:paraId="60C4B8D0" w14:textId="77777777" w:rsidR="00821E26" w:rsidRPr="007377F0" w:rsidRDefault="00821E26" w:rsidP="00FD5644">
      <w:pPr>
        <w:pStyle w:val="berschrift1"/>
        <w:spacing w:before="0" w:line="240" w:lineRule="auto"/>
        <w:jc w:val="center"/>
        <w:rPr>
          <w:rFonts w:asciiTheme="minorHAnsi" w:hAnsiTheme="minorHAnsi" w:cstheme="minorHAnsi"/>
          <w:b/>
          <w:color w:val="auto"/>
          <w:sz w:val="28"/>
          <w:szCs w:val="28"/>
        </w:rPr>
      </w:pPr>
      <w:r w:rsidRPr="007377F0">
        <w:rPr>
          <w:rFonts w:asciiTheme="minorHAnsi" w:hAnsiTheme="minorHAnsi" w:cstheme="minorHAnsi"/>
          <w:b/>
          <w:color w:val="auto"/>
          <w:sz w:val="28"/>
          <w:szCs w:val="28"/>
        </w:rPr>
        <w:t xml:space="preserve">§ 4 </w:t>
      </w:r>
      <w:r w:rsidR="00FD5644">
        <w:rPr>
          <w:rFonts w:asciiTheme="minorHAnsi" w:hAnsiTheme="minorHAnsi" w:cstheme="minorHAnsi"/>
          <w:b/>
          <w:color w:val="auto"/>
          <w:sz w:val="28"/>
          <w:szCs w:val="28"/>
        </w:rPr>
        <w:t xml:space="preserve">  </w:t>
      </w:r>
      <w:r w:rsidRPr="007377F0">
        <w:rPr>
          <w:rFonts w:asciiTheme="minorHAnsi" w:hAnsiTheme="minorHAnsi" w:cstheme="minorHAnsi"/>
          <w:b/>
          <w:color w:val="auto"/>
          <w:sz w:val="28"/>
          <w:szCs w:val="28"/>
        </w:rPr>
        <w:t>Förderfähige Kosten</w:t>
      </w:r>
    </w:p>
    <w:p w14:paraId="75F2FBE5" w14:textId="77777777" w:rsidR="005C519B" w:rsidRDefault="005C519B" w:rsidP="00FD5644">
      <w:pPr>
        <w:spacing w:after="0" w:line="240" w:lineRule="auto"/>
      </w:pPr>
    </w:p>
    <w:p w14:paraId="05B67575" w14:textId="77777777" w:rsidR="009B730D" w:rsidRPr="00275CAF" w:rsidRDefault="009B730D" w:rsidP="00FD5644">
      <w:pPr>
        <w:pStyle w:val="Listenabsatz"/>
        <w:numPr>
          <w:ilvl w:val="0"/>
          <w:numId w:val="22"/>
        </w:numPr>
        <w:spacing w:after="0" w:line="240" w:lineRule="auto"/>
        <w:ind w:hanging="720"/>
        <w:jc w:val="both"/>
        <w:rPr>
          <w:sz w:val="24"/>
          <w:szCs w:val="24"/>
        </w:rPr>
      </w:pPr>
      <w:r w:rsidRPr="00275CAF">
        <w:rPr>
          <w:sz w:val="24"/>
          <w:szCs w:val="24"/>
        </w:rPr>
        <w:t>Förderungsfähig sind Neuinvestitionen (materielle und immaterielle Investitionen) sowie damit im</w:t>
      </w:r>
      <w:r w:rsidR="00EC7263" w:rsidRPr="00275CAF">
        <w:rPr>
          <w:sz w:val="24"/>
          <w:szCs w:val="24"/>
        </w:rPr>
        <w:t xml:space="preserve"> </w:t>
      </w:r>
      <w:r w:rsidRPr="00275CAF">
        <w:rPr>
          <w:sz w:val="24"/>
          <w:szCs w:val="24"/>
        </w:rPr>
        <w:t xml:space="preserve">Zusammenhang stehende Leistungen externer Anbieter (z.B. </w:t>
      </w:r>
      <w:r w:rsidR="00EC7263" w:rsidRPr="00275CAF">
        <w:rPr>
          <w:sz w:val="24"/>
          <w:szCs w:val="24"/>
        </w:rPr>
        <w:t xml:space="preserve">Beratung, </w:t>
      </w:r>
      <w:r w:rsidRPr="00275CAF">
        <w:rPr>
          <w:sz w:val="24"/>
          <w:szCs w:val="24"/>
        </w:rPr>
        <w:t>Programmiertätigkeiten, ([Cloud-]</w:t>
      </w:r>
      <w:r w:rsidR="00EC7263" w:rsidRPr="00275CAF">
        <w:rPr>
          <w:sz w:val="24"/>
          <w:szCs w:val="24"/>
        </w:rPr>
        <w:t xml:space="preserve"> </w:t>
      </w:r>
      <w:r w:rsidRPr="00275CAF">
        <w:rPr>
          <w:sz w:val="24"/>
          <w:szCs w:val="24"/>
        </w:rPr>
        <w:t>Softwarelizenzen</w:t>
      </w:r>
      <w:r w:rsidR="00A6609B" w:rsidRPr="00275CAF">
        <w:rPr>
          <w:sz w:val="24"/>
          <w:szCs w:val="24"/>
        </w:rPr>
        <w:t>, Digitalisierungs</w:t>
      </w:r>
      <w:r w:rsidR="00FD5644">
        <w:rPr>
          <w:sz w:val="24"/>
          <w:szCs w:val="24"/>
        </w:rPr>
        <w:t>-</w:t>
      </w:r>
      <w:r w:rsidR="00A6609B" w:rsidRPr="00275CAF">
        <w:rPr>
          <w:sz w:val="24"/>
          <w:szCs w:val="24"/>
        </w:rPr>
        <w:t>gesamtpakete</w:t>
      </w:r>
      <w:r w:rsidRPr="00275CAF">
        <w:rPr>
          <w:sz w:val="24"/>
          <w:szCs w:val="24"/>
        </w:rPr>
        <w:t>), die in unmittelbarem Zusammenhang mit dem Investitionsprojekt stehen.</w:t>
      </w:r>
    </w:p>
    <w:p w14:paraId="43C4C752" w14:textId="77777777" w:rsidR="00DB5F77" w:rsidRPr="00275CAF" w:rsidRDefault="00DB5F77" w:rsidP="00FD5644">
      <w:pPr>
        <w:spacing w:after="0" w:line="240" w:lineRule="auto"/>
        <w:ind w:hanging="720"/>
        <w:jc w:val="both"/>
        <w:rPr>
          <w:sz w:val="24"/>
          <w:szCs w:val="24"/>
        </w:rPr>
      </w:pPr>
    </w:p>
    <w:p w14:paraId="6F1F6902" w14:textId="77777777" w:rsidR="009B730D" w:rsidRPr="00275CAF" w:rsidRDefault="0078608F" w:rsidP="00FD5644">
      <w:pPr>
        <w:pStyle w:val="Listenabsatz"/>
        <w:numPr>
          <w:ilvl w:val="0"/>
          <w:numId w:val="22"/>
        </w:numPr>
        <w:spacing w:after="0" w:line="240" w:lineRule="auto"/>
        <w:ind w:hanging="720"/>
        <w:jc w:val="both"/>
        <w:rPr>
          <w:sz w:val="24"/>
          <w:szCs w:val="24"/>
        </w:rPr>
      </w:pPr>
      <w:r w:rsidRPr="00275CAF">
        <w:rPr>
          <w:sz w:val="24"/>
          <w:szCs w:val="24"/>
        </w:rPr>
        <w:t>Sämtliche</w:t>
      </w:r>
      <w:r w:rsidR="00A6609B" w:rsidRPr="00275CAF">
        <w:rPr>
          <w:sz w:val="24"/>
          <w:szCs w:val="24"/>
        </w:rPr>
        <w:t xml:space="preserve"> </w:t>
      </w:r>
      <w:r w:rsidR="009B730D" w:rsidRPr="00275CAF">
        <w:rPr>
          <w:sz w:val="24"/>
          <w:szCs w:val="24"/>
        </w:rPr>
        <w:t xml:space="preserve">Kosten </w:t>
      </w:r>
      <w:r w:rsidR="003855A2" w:rsidRPr="00275CAF">
        <w:rPr>
          <w:sz w:val="24"/>
          <w:szCs w:val="24"/>
        </w:rPr>
        <w:t>si</w:t>
      </w:r>
      <w:r w:rsidR="00A6609B" w:rsidRPr="00275CAF">
        <w:rPr>
          <w:sz w:val="24"/>
          <w:szCs w:val="24"/>
        </w:rPr>
        <w:t xml:space="preserve">nd bis zum Abschluss des Projektes, </w:t>
      </w:r>
      <w:r w:rsidR="009B730D" w:rsidRPr="00275CAF">
        <w:rPr>
          <w:sz w:val="24"/>
          <w:szCs w:val="24"/>
        </w:rPr>
        <w:t>maximal</w:t>
      </w:r>
      <w:r w:rsidR="00A6609B" w:rsidRPr="00275CAF">
        <w:rPr>
          <w:sz w:val="24"/>
          <w:szCs w:val="24"/>
        </w:rPr>
        <w:t xml:space="preserve"> jedoch</w:t>
      </w:r>
      <w:r w:rsidR="009B730D" w:rsidRPr="00275CAF">
        <w:rPr>
          <w:sz w:val="24"/>
          <w:szCs w:val="24"/>
        </w:rPr>
        <w:t xml:space="preserve"> </w:t>
      </w:r>
      <w:r w:rsidR="002A6810" w:rsidRPr="00275CAF">
        <w:rPr>
          <w:sz w:val="24"/>
          <w:szCs w:val="24"/>
        </w:rPr>
        <w:t>bis zu</w:t>
      </w:r>
      <w:r w:rsidR="009B730D" w:rsidRPr="00275CAF">
        <w:rPr>
          <w:sz w:val="24"/>
          <w:szCs w:val="24"/>
        </w:rPr>
        <w:t xml:space="preserve"> 12 Monate</w:t>
      </w:r>
      <w:r w:rsidR="00791DDC" w:rsidRPr="00275CAF">
        <w:rPr>
          <w:sz w:val="24"/>
          <w:szCs w:val="24"/>
        </w:rPr>
        <w:t>n</w:t>
      </w:r>
      <w:r w:rsidR="003855A2" w:rsidRPr="00275CAF">
        <w:rPr>
          <w:sz w:val="24"/>
          <w:szCs w:val="24"/>
        </w:rPr>
        <w:t xml:space="preserve"> nach Förderzusage</w:t>
      </w:r>
      <w:r w:rsidR="00A6609B" w:rsidRPr="00275CAF">
        <w:rPr>
          <w:sz w:val="24"/>
          <w:szCs w:val="24"/>
        </w:rPr>
        <w:t>, förderbar.</w:t>
      </w:r>
      <w:r w:rsidR="009B730D" w:rsidRPr="00275CAF">
        <w:rPr>
          <w:sz w:val="24"/>
          <w:szCs w:val="24"/>
        </w:rPr>
        <w:t xml:space="preserve"> </w:t>
      </w:r>
    </w:p>
    <w:p w14:paraId="230C51DD" w14:textId="77777777" w:rsidR="00A2192A" w:rsidRPr="00275CAF" w:rsidRDefault="00A2192A" w:rsidP="00FD5644">
      <w:pPr>
        <w:spacing w:after="0" w:line="240" w:lineRule="auto"/>
        <w:rPr>
          <w:sz w:val="24"/>
          <w:szCs w:val="24"/>
        </w:rPr>
      </w:pPr>
    </w:p>
    <w:p w14:paraId="2AAD4090" w14:textId="77777777" w:rsidR="009B730D" w:rsidRPr="00275CAF" w:rsidRDefault="009B730D" w:rsidP="00FD5644">
      <w:pPr>
        <w:spacing w:after="0" w:line="240" w:lineRule="auto"/>
        <w:rPr>
          <w:sz w:val="24"/>
          <w:szCs w:val="24"/>
        </w:rPr>
      </w:pPr>
      <w:r w:rsidRPr="00275CAF">
        <w:rPr>
          <w:sz w:val="24"/>
          <w:szCs w:val="24"/>
        </w:rPr>
        <w:t>Ausgeschlossen von einer Förderung sind:</w:t>
      </w:r>
    </w:p>
    <w:p w14:paraId="53928D68" w14:textId="77777777" w:rsidR="00DB5F77" w:rsidRPr="00275CAF" w:rsidRDefault="00DB5F77" w:rsidP="00FD5644">
      <w:pPr>
        <w:spacing w:after="0" w:line="240" w:lineRule="auto"/>
        <w:rPr>
          <w:sz w:val="24"/>
          <w:szCs w:val="24"/>
        </w:rPr>
      </w:pPr>
    </w:p>
    <w:p w14:paraId="3847B85B" w14:textId="77777777" w:rsidR="009B730D" w:rsidRPr="00275CAF" w:rsidRDefault="009B730D" w:rsidP="00FD5644">
      <w:pPr>
        <w:pStyle w:val="Listenabsatz"/>
        <w:numPr>
          <w:ilvl w:val="0"/>
          <w:numId w:val="2"/>
        </w:numPr>
        <w:spacing w:after="0" w:line="240" w:lineRule="auto"/>
        <w:ind w:left="993" w:hanging="284"/>
        <w:jc w:val="both"/>
        <w:rPr>
          <w:sz w:val="24"/>
          <w:szCs w:val="24"/>
        </w:rPr>
      </w:pPr>
      <w:r w:rsidRPr="00275CAF">
        <w:rPr>
          <w:sz w:val="24"/>
          <w:szCs w:val="24"/>
        </w:rPr>
        <w:t xml:space="preserve">Kosten, die bereits im Modul Umsetzung im Rahmen von KMU.DIGITAL </w:t>
      </w:r>
      <w:r w:rsidR="009C155F" w:rsidRPr="00275CAF">
        <w:rPr>
          <w:sz w:val="24"/>
          <w:szCs w:val="24"/>
        </w:rPr>
        <w:t>oder anderen Förderungsprogrammen</w:t>
      </w:r>
      <w:r w:rsidR="0029632F" w:rsidRPr="00275CAF">
        <w:rPr>
          <w:sz w:val="24"/>
          <w:szCs w:val="24"/>
        </w:rPr>
        <w:t xml:space="preserve"> wie z.B. KMU.E-Commerce</w:t>
      </w:r>
      <w:r w:rsidR="009C155F" w:rsidRPr="00275CAF">
        <w:rPr>
          <w:sz w:val="24"/>
          <w:szCs w:val="24"/>
        </w:rPr>
        <w:t xml:space="preserve"> </w:t>
      </w:r>
      <w:r w:rsidRPr="00275CAF">
        <w:rPr>
          <w:sz w:val="24"/>
          <w:szCs w:val="24"/>
        </w:rPr>
        <w:t>gefördert</w:t>
      </w:r>
      <w:r w:rsidR="00C416AF" w:rsidRPr="00275CAF">
        <w:rPr>
          <w:sz w:val="24"/>
          <w:szCs w:val="24"/>
        </w:rPr>
        <w:t xml:space="preserve"> </w:t>
      </w:r>
      <w:r w:rsidRPr="00275CAF">
        <w:rPr>
          <w:sz w:val="24"/>
          <w:szCs w:val="24"/>
        </w:rPr>
        <w:t>wurden</w:t>
      </w:r>
      <w:r w:rsidR="009B5B96" w:rsidRPr="00275CAF">
        <w:rPr>
          <w:sz w:val="24"/>
          <w:szCs w:val="24"/>
        </w:rPr>
        <w:t xml:space="preserve"> (Ausnahme: </w:t>
      </w:r>
      <w:r w:rsidR="00125AB4" w:rsidRPr="00275CAF">
        <w:rPr>
          <w:sz w:val="24"/>
          <w:szCs w:val="24"/>
        </w:rPr>
        <w:t>COVID-19-</w:t>
      </w:r>
      <w:r w:rsidR="009B5B96" w:rsidRPr="00275CAF">
        <w:rPr>
          <w:sz w:val="24"/>
          <w:szCs w:val="24"/>
        </w:rPr>
        <w:t>Investitionsprämie der AWS)</w:t>
      </w:r>
    </w:p>
    <w:p w14:paraId="32785247" w14:textId="77777777" w:rsidR="009B730D" w:rsidRPr="00275CAF" w:rsidRDefault="009B730D" w:rsidP="00FD5644">
      <w:pPr>
        <w:pStyle w:val="Listenabsatz"/>
        <w:numPr>
          <w:ilvl w:val="0"/>
          <w:numId w:val="2"/>
        </w:numPr>
        <w:spacing w:after="0" w:line="240" w:lineRule="auto"/>
        <w:ind w:left="993" w:hanging="284"/>
        <w:jc w:val="both"/>
        <w:rPr>
          <w:sz w:val="24"/>
          <w:szCs w:val="24"/>
        </w:rPr>
      </w:pPr>
      <w:r w:rsidRPr="00275CAF">
        <w:rPr>
          <w:sz w:val="24"/>
          <w:szCs w:val="24"/>
        </w:rPr>
        <w:t>Kosten bzw. Rechnungen, die vor Antragstellung angefallen sind oder gelegt wurden</w:t>
      </w:r>
      <w:r w:rsidR="00110F21" w:rsidRPr="00275CAF">
        <w:rPr>
          <w:sz w:val="24"/>
          <w:szCs w:val="24"/>
        </w:rPr>
        <w:t xml:space="preserve">, es </w:t>
      </w:r>
      <w:r w:rsidRPr="00275CAF">
        <w:rPr>
          <w:sz w:val="24"/>
          <w:szCs w:val="24"/>
        </w:rPr>
        <w:t>dürfen noch keine Bestellungen, Lieferungen oder Leistungen oder An</w:t>
      </w:r>
      <w:r w:rsidR="00901606">
        <w:rPr>
          <w:sz w:val="24"/>
          <w:szCs w:val="24"/>
        </w:rPr>
        <w:t>z</w:t>
      </w:r>
      <w:r w:rsidRPr="00275CAF">
        <w:rPr>
          <w:sz w:val="24"/>
          <w:szCs w:val="24"/>
        </w:rPr>
        <w:t>ahlungen</w:t>
      </w:r>
      <w:r w:rsidR="00110F21" w:rsidRPr="00275CAF">
        <w:rPr>
          <w:sz w:val="24"/>
          <w:szCs w:val="24"/>
        </w:rPr>
        <w:t xml:space="preserve"> </w:t>
      </w:r>
      <w:r w:rsidRPr="00275CAF">
        <w:rPr>
          <w:sz w:val="24"/>
          <w:szCs w:val="24"/>
        </w:rPr>
        <w:t>erfolgt sein</w:t>
      </w:r>
    </w:p>
    <w:p w14:paraId="4CF931C1" w14:textId="77777777" w:rsidR="009B730D" w:rsidRPr="00275CAF" w:rsidRDefault="009B730D" w:rsidP="00FD5644">
      <w:pPr>
        <w:pStyle w:val="Listenabsatz"/>
        <w:numPr>
          <w:ilvl w:val="0"/>
          <w:numId w:val="2"/>
        </w:numPr>
        <w:spacing w:after="0" w:line="240" w:lineRule="auto"/>
        <w:ind w:left="993" w:hanging="284"/>
        <w:jc w:val="both"/>
        <w:rPr>
          <w:sz w:val="24"/>
          <w:szCs w:val="24"/>
        </w:rPr>
      </w:pPr>
      <w:r w:rsidRPr="00275CAF">
        <w:rPr>
          <w:sz w:val="24"/>
          <w:szCs w:val="24"/>
        </w:rPr>
        <w:t>Kosten, die nicht in unmittelbarem Zusammenhang mit einem E-Commerce-Projekt gem.</w:t>
      </w:r>
      <w:r w:rsidR="00367C2C" w:rsidRPr="00275CAF">
        <w:rPr>
          <w:sz w:val="24"/>
          <w:szCs w:val="24"/>
        </w:rPr>
        <w:t xml:space="preserve"> den definierten Kriterien </w:t>
      </w:r>
      <w:r w:rsidRPr="00275CAF">
        <w:rPr>
          <w:sz w:val="24"/>
          <w:szCs w:val="24"/>
        </w:rPr>
        <w:t>stehen</w:t>
      </w:r>
    </w:p>
    <w:p w14:paraId="0EF6894A" w14:textId="77777777" w:rsidR="009B730D" w:rsidRPr="00275CAF" w:rsidRDefault="009B730D" w:rsidP="00FD5644">
      <w:pPr>
        <w:pStyle w:val="Listenabsatz"/>
        <w:numPr>
          <w:ilvl w:val="0"/>
          <w:numId w:val="2"/>
        </w:numPr>
        <w:spacing w:after="0" w:line="240" w:lineRule="auto"/>
        <w:ind w:left="993" w:hanging="284"/>
        <w:jc w:val="both"/>
        <w:rPr>
          <w:sz w:val="24"/>
          <w:szCs w:val="24"/>
        </w:rPr>
      </w:pPr>
      <w:r w:rsidRPr="00275CAF">
        <w:rPr>
          <w:sz w:val="24"/>
          <w:szCs w:val="24"/>
        </w:rPr>
        <w:t>Ersatzinvestitionen ohne technische Weiterentwicklungen (z.B. Austausch von PCs,</w:t>
      </w:r>
      <w:r w:rsidR="000863FC" w:rsidRPr="00275CAF">
        <w:rPr>
          <w:sz w:val="24"/>
          <w:szCs w:val="24"/>
        </w:rPr>
        <w:t xml:space="preserve"> </w:t>
      </w:r>
      <w:r w:rsidRPr="00275CAF">
        <w:rPr>
          <w:sz w:val="24"/>
          <w:szCs w:val="24"/>
        </w:rPr>
        <w:t>Ta</w:t>
      </w:r>
      <w:r w:rsidR="00C84624" w:rsidRPr="00275CAF">
        <w:rPr>
          <w:sz w:val="24"/>
          <w:szCs w:val="24"/>
        </w:rPr>
        <w:t>bl</w:t>
      </w:r>
      <w:r w:rsidRPr="00275CAF">
        <w:rPr>
          <w:sz w:val="24"/>
          <w:szCs w:val="24"/>
        </w:rPr>
        <w:t>ets oder Smartphones, Standard-Upgrades)</w:t>
      </w:r>
    </w:p>
    <w:p w14:paraId="22FD9CFF" w14:textId="77777777" w:rsidR="009B730D" w:rsidRPr="00275CAF" w:rsidRDefault="009B730D" w:rsidP="00FD5644">
      <w:pPr>
        <w:pStyle w:val="Listenabsatz"/>
        <w:numPr>
          <w:ilvl w:val="0"/>
          <w:numId w:val="2"/>
        </w:numPr>
        <w:spacing w:after="0" w:line="240" w:lineRule="auto"/>
        <w:ind w:left="993" w:hanging="284"/>
        <w:jc w:val="both"/>
        <w:rPr>
          <w:sz w:val="24"/>
          <w:szCs w:val="24"/>
        </w:rPr>
      </w:pPr>
      <w:r w:rsidRPr="00275CAF">
        <w:rPr>
          <w:sz w:val="24"/>
          <w:szCs w:val="24"/>
        </w:rPr>
        <w:t xml:space="preserve">Investitionen mit Investitionsstandort außerhalb </w:t>
      </w:r>
      <w:r w:rsidR="008F03FB" w:rsidRPr="00275CAF">
        <w:rPr>
          <w:sz w:val="24"/>
          <w:szCs w:val="24"/>
        </w:rPr>
        <w:t>Vorarlberg</w:t>
      </w:r>
    </w:p>
    <w:p w14:paraId="767CB68E" w14:textId="77777777" w:rsidR="009B730D" w:rsidRPr="00275CAF" w:rsidRDefault="009B730D" w:rsidP="00FD5644">
      <w:pPr>
        <w:pStyle w:val="Listenabsatz"/>
        <w:numPr>
          <w:ilvl w:val="0"/>
          <w:numId w:val="2"/>
        </w:numPr>
        <w:spacing w:after="0" w:line="240" w:lineRule="auto"/>
        <w:ind w:left="993" w:hanging="284"/>
        <w:jc w:val="both"/>
        <w:rPr>
          <w:sz w:val="24"/>
          <w:szCs w:val="24"/>
        </w:rPr>
      </w:pPr>
      <w:r w:rsidRPr="00275CAF">
        <w:rPr>
          <w:sz w:val="24"/>
          <w:szCs w:val="24"/>
        </w:rPr>
        <w:t>aktivierte Eigenleistungen</w:t>
      </w:r>
    </w:p>
    <w:p w14:paraId="29745036" w14:textId="77777777" w:rsidR="009B730D" w:rsidRPr="00275CAF" w:rsidRDefault="009B730D" w:rsidP="00FD5644">
      <w:pPr>
        <w:pStyle w:val="Listenabsatz"/>
        <w:numPr>
          <w:ilvl w:val="0"/>
          <w:numId w:val="2"/>
        </w:numPr>
        <w:spacing w:after="0" w:line="240" w:lineRule="auto"/>
        <w:ind w:left="993" w:hanging="284"/>
        <w:jc w:val="both"/>
        <w:rPr>
          <w:sz w:val="24"/>
          <w:szCs w:val="24"/>
        </w:rPr>
      </w:pPr>
      <w:r w:rsidRPr="00275CAF">
        <w:rPr>
          <w:sz w:val="24"/>
          <w:szCs w:val="24"/>
        </w:rPr>
        <w:t>laufende Betriebskosten (z.B. Personalkosten).</w:t>
      </w:r>
    </w:p>
    <w:p w14:paraId="6E35ED5F" w14:textId="77777777" w:rsidR="009B5B96" w:rsidRPr="00275CAF" w:rsidRDefault="009B5B96" w:rsidP="00FD5644">
      <w:pPr>
        <w:pStyle w:val="Listenabsatz"/>
        <w:numPr>
          <w:ilvl w:val="0"/>
          <w:numId w:val="2"/>
        </w:numPr>
        <w:spacing w:after="0" w:line="240" w:lineRule="auto"/>
        <w:ind w:left="993" w:hanging="284"/>
        <w:jc w:val="both"/>
        <w:rPr>
          <w:sz w:val="24"/>
          <w:szCs w:val="24"/>
        </w:rPr>
      </w:pPr>
      <w:r w:rsidRPr="00275CAF">
        <w:rPr>
          <w:sz w:val="24"/>
          <w:szCs w:val="24"/>
        </w:rPr>
        <w:t>reines Beratungsprojekt ohne Neuinvestitionen</w:t>
      </w:r>
    </w:p>
    <w:p w14:paraId="25E059D6" w14:textId="77777777" w:rsidR="007B09F5" w:rsidRPr="007B09F5" w:rsidRDefault="007B09F5" w:rsidP="00FD5644">
      <w:pPr>
        <w:spacing w:after="0" w:line="240" w:lineRule="auto"/>
      </w:pPr>
    </w:p>
    <w:p w14:paraId="2AE33831" w14:textId="77777777" w:rsidR="00A2192A" w:rsidRPr="007377F0" w:rsidRDefault="00A2192A" w:rsidP="00FD5644">
      <w:pPr>
        <w:pStyle w:val="berschrift1"/>
        <w:spacing w:before="0" w:line="240" w:lineRule="auto"/>
        <w:jc w:val="center"/>
        <w:rPr>
          <w:rFonts w:asciiTheme="minorHAnsi" w:hAnsiTheme="minorHAnsi" w:cstheme="minorHAnsi"/>
          <w:b/>
          <w:color w:val="auto"/>
          <w:sz w:val="28"/>
          <w:szCs w:val="28"/>
        </w:rPr>
      </w:pPr>
      <w:r w:rsidRPr="007377F0">
        <w:rPr>
          <w:rFonts w:asciiTheme="minorHAnsi" w:hAnsiTheme="minorHAnsi" w:cstheme="minorHAnsi"/>
          <w:b/>
          <w:color w:val="auto"/>
          <w:sz w:val="28"/>
          <w:szCs w:val="28"/>
        </w:rPr>
        <w:lastRenderedPageBreak/>
        <w:t xml:space="preserve">§ 5 </w:t>
      </w:r>
      <w:r w:rsidR="00FD5644">
        <w:rPr>
          <w:rFonts w:asciiTheme="minorHAnsi" w:hAnsiTheme="minorHAnsi" w:cstheme="minorHAnsi"/>
          <w:b/>
          <w:color w:val="auto"/>
          <w:sz w:val="28"/>
          <w:szCs w:val="28"/>
        </w:rPr>
        <w:t xml:space="preserve">  </w:t>
      </w:r>
      <w:r w:rsidRPr="007377F0">
        <w:rPr>
          <w:rFonts w:asciiTheme="minorHAnsi" w:hAnsiTheme="minorHAnsi" w:cstheme="minorHAnsi"/>
          <w:b/>
          <w:color w:val="auto"/>
          <w:sz w:val="28"/>
          <w:szCs w:val="28"/>
        </w:rPr>
        <w:t>Art und Ausmaß der Förderung</w:t>
      </w:r>
    </w:p>
    <w:p w14:paraId="69EF7448" w14:textId="77777777" w:rsidR="00E0373D" w:rsidRPr="00FD5644" w:rsidRDefault="00E0373D" w:rsidP="00FD5644">
      <w:pPr>
        <w:spacing w:after="0" w:line="240" w:lineRule="auto"/>
        <w:rPr>
          <w:sz w:val="24"/>
          <w:szCs w:val="24"/>
        </w:rPr>
      </w:pPr>
    </w:p>
    <w:p w14:paraId="224CEF1C" w14:textId="77777777" w:rsidR="003D2585" w:rsidRPr="00275CAF" w:rsidRDefault="003D2585" w:rsidP="00FD5644">
      <w:pPr>
        <w:pStyle w:val="Listenabsatz"/>
        <w:numPr>
          <w:ilvl w:val="0"/>
          <w:numId w:val="23"/>
        </w:numPr>
        <w:spacing w:after="0" w:line="240" w:lineRule="auto"/>
        <w:ind w:hanging="720"/>
        <w:jc w:val="both"/>
        <w:rPr>
          <w:sz w:val="24"/>
          <w:szCs w:val="24"/>
        </w:rPr>
      </w:pPr>
      <w:r w:rsidRPr="00275CAF">
        <w:rPr>
          <w:sz w:val="24"/>
          <w:szCs w:val="24"/>
        </w:rPr>
        <w:t xml:space="preserve">Die Förderung erfolgt durch die Gewährung </w:t>
      </w:r>
      <w:r w:rsidR="00A3422A" w:rsidRPr="00275CAF">
        <w:rPr>
          <w:sz w:val="24"/>
          <w:szCs w:val="24"/>
        </w:rPr>
        <w:t xml:space="preserve">eines </w:t>
      </w:r>
      <w:r w:rsidRPr="00275CAF">
        <w:rPr>
          <w:sz w:val="24"/>
          <w:szCs w:val="24"/>
        </w:rPr>
        <w:t>nicht rückzahlbaren Zuschusse</w:t>
      </w:r>
      <w:r w:rsidR="00A3422A" w:rsidRPr="00275CAF">
        <w:rPr>
          <w:sz w:val="24"/>
          <w:szCs w:val="24"/>
        </w:rPr>
        <w:t xml:space="preserve">s </w:t>
      </w:r>
      <w:r w:rsidR="009C155F" w:rsidRPr="00275CAF">
        <w:rPr>
          <w:sz w:val="24"/>
          <w:szCs w:val="24"/>
        </w:rPr>
        <w:t>nach Abschluss</w:t>
      </w:r>
      <w:r w:rsidR="00A3422A" w:rsidRPr="00275CAF">
        <w:rPr>
          <w:sz w:val="24"/>
          <w:szCs w:val="24"/>
        </w:rPr>
        <w:t xml:space="preserve"> des </w:t>
      </w:r>
      <w:r w:rsidR="00551246" w:rsidRPr="00275CAF">
        <w:rPr>
          <w:sz w:val="24"/>
          <w:szCs w:val="24"/>
        </w:rPr>
        <w:t>Digitalisierungsprojekt</w:t>
      </w:r>
      <w:r w:rsidR="009C155F" w:rsidRPr="00275CAF">
        <w:rPr>
          <w:sz w:val="24"/>
          <w:szCs w:val="24"/>
        </w:rPr>
        <w:t>e</w:t>
      </w:r>
      <w:r w:rsidR="00551246" w:rsidRPr="00275CAF">
        <w:rPr>
          <w:sz w:val="24"/>
          <w:szCs w:val="24"/>
        </w:rPr>
        <w:t>s</w:t>
      </w:r>
      <w:r w:rsidRPr="00275CAF">
        <w:rPr>
          <w:sz w:val="24"/>
          <w:szCs w:val="24"/>
        </w:rPr>
        <w:t>.</w:t>
      </w:r>
    </w:p>
    <w:p w14:paraId="7C7DCFCC" w14:textId="77777777" w:rsidR="00DB5F77" w:rsidRPr="00275CAF" w:rsidRDefault="00DB5F77" w:rsidP="00FD5644">
      <w:pPr>
        <w:spacing w:after="0" w:line="240" w:lineRule="auto"/>
        <w:ind w:hanging="720"/>
        <w:jc w:val="both"/>
        <w:rPr>
          <w:sz w:val="24"/>
          <w:szCs w:val="24"/>
        </w:rPr>
      </w:pPr>
    </w:p>
    <w:p w14:paraId="0199C205" w14:textId="77777777" w:rsidR="003D2585" w:rsidRPr="00275CAF" w:rsidRDefault="003D2585" w:rsidP="00FD5644">
      <w:pPr>
        <w:pStyle w:val="Listenabsatz"/>
        <w:numPr>
          <w:ilvl w:val="0"/>
          <w:numId w:val="23"/>
        </w:numPr>
        <w:spacing w:after="0" w:line="240" w:lineRule="auto"/>
        <w:ind w:hanging="720"/>
        <w:jc w:val="both"/>
        <w:rPr>
          <w:sz w:val="24"/>
          <w:szCs w:val="24"/>
        </w:rPr>
      </w:pPr>
      <w:r w:rsidRPr="00275CAF">
        <w:rPr>
          <w:sz w:val="24"/>
          <w:szCs w:val="24"/>
        </w:rPr>
        <w:t>Die Förderung beträgt 30</w:t>
      </w:r>
      <w:r w:rsidR="00AD3B31">
        <w:rPr>
          <w:sz w:val="24"/>
          <w:szCs w:val="24"/>
        </w:rPr>
        <w:t> </w:t>
      </w:r>
      <w:r w:rsidRPr="00275CAF">
        <w:rPr>
          <w:sz w:val="24"/>
          <w:szCs w:val="24"/>
        </w:rPr>
        <w:t>% der förderbaren Kosten</w:t>
      </w:r>
      <w:r w:rsidR="00551246" w:rsidRPr="00275CAF">
        <w:rPr>
          <w:sz w:val="24"/>
          <w:szCs w:val="24"/>
        </w:rPr>
        <w:t>.</w:t>
      </w:r>
      <w:r w:rsidR="00A2192A" w:rsidRPr="00275CAF">
        <w:rPr>
          <w:sz w:val="24"/>
          <w:szCs w:val="24"/>
        </w:rPr>
        <w:t xml:space="preserve"> Die Untergrenze der förderbaren </w:t>
      </w:r>
      <w:r w:rsidR="00DB5F77" w:rsidRPr="00275CAF">
        <w:rPr>
          <w:sz w:val="24"/>
          <w:szCs w:val="24"/>
        </w:rPr>
        <w:t>Nettokosten liegt bei €</w:t>
      </w:r>
      <w:r w:rsidR="00AD3B31">
        <w:rPr>
          <w:sz w:val="24"/>
          <w:szCs w:val="24"/>
        </w:rPr>
        <w:t> </w:t>
      </w:r>
      <w:r w:rsidR="00ED43AA" w:rsidRPr="00275CAF">
        <w:rPr>
          <w:sz w:val="24"/>
          <w:szCs w:val="24"/>
        </w:rPr>
        <w:t>3</w:t>
      </w:r>
      <w:r w:rsidR="00DB5F77" w:rsidRPr="00275CAF">
        <w:rPr>
          <w:sz w:val="24"/>
          <w:szCs w:val="24"/>
        </w:rPr>
        <w:t>.000</w:t>
      </w:r>
      <w:r w:rsidR="00125AB4" w:rsidRPr="00275CAF">
        <w:rPr>
          <w:sz w:val="24"/>
          <w:szCs w:val="24"/>
        </w:rPr>
        <w:t xml:space="preserve">, </w:t>
      </w:r>
      <w:r w:rsidR="00DB5F77" w:rsidRPr="00275CAF">
        <w:rPr>
          <w:sz w:val="24"/>
          <w:szCs w:val="24"/>
        </w:rPr>
        <w:t>die Obergrenze bei €</w:t>
      </w:r>
      <w:r w:rsidR="00AD3B31">
        <w:rPr>
          <w:rFonts w:ascii="Calibri" w:hAnsi="Calibri"/>
          <w:szCs w:val="24"/>
        </w:rPr>
        <w:t> </w:t>
      </w:r>
      <w:r w:rsidR="00DB5F77" w:rsidRPr="00275CAF">
        <w:rPr>
          <w:sz w:val="24"/>
          <w:szCs w:val="24"/>
        </w:rPr>
        <w:t>50.000</w:t>
      </w:r>
      <w:r w:rsidR="00A2192A" w:rsidRPr="00275CAF">
        <w:rPr>
          <w:sz w:val="24"/>
          <w:szCs w:val="24"/>
        </w:rPr>
        <w:t xml:space="preserve">. </w:t>
      </w:r>
      <w:r w:rsidRPr="00275CAF">
        <w:rPr>
          <w:sz w:val="24"/>
          <w:szCs w:val="24"/>
        </w:rPr>
        <w:t>Der maximale Zuschuss</w:t>
      </w:r>
      <w:r w:rsidR="007665DC" w:rsidRPr="00275CAF">
        <w:rPr>
          <w:sz w:val="24"/>
          <w:szCs w:val="24"/>
        </w:rPr>
        <w:t xml:space="preserve"> </w:t>
      </w:r>
      <w:r w:rsidRPr="00275CAF">
        <w:rPr>
          <w:sz w:val="24"/>
          <w:szCs w:val="24"/>
        </w:rPr>
        <w:t xml:space="preserve">beträgt </w:t>
      </w:r>
      <w:r w:rsidR="00125AB4" w:rsidRPr="00275CAF">
        <w:rPr>
          <w:sz w:val="24"/>
          <w:szCs w:val="24"/>
        </w:rPr>
        <w:t xml:space="preserve">somit </w:t>
      </w:r>
      <w:r w:rsidR="00A2192A" w:rsidRPr="00275CAF">
        <w:rPr>
          <w:sz w:val="24"/>
          <w:szCs w:val="24"/>
        </w:rPr>
        <w:t>€</w:t>
      </w:r>
      <w:r w:rsidR="00AD3B31">
        <w:rPr>
          <w:sz w:val="24"/>
          <w:szCs w:val="24"/>
        </w:rPr>
        <w:t> </w:t>
      </w:r>
      <w:r w:rsidR="007665DC" w:rsidRPr="00275CAF">
        <w:rPr>
          <w:sz w:val="24"/>
          <w:szCs w:val="24"/>
        </w:rPr>
        <w:t>15</w:t>
      </w:r>
      <w:r w:rsidRPr="00275CAF">
        <w:rPr>
          <w:sz w:val="24"/>
          <w:szCs w:val="24"/>
        </w:rPr>
        <w:t xml:space="preserve">.000. </w:t>
      </w:r>
      <w:r w:rsidR="009B5B96" w:rsidRPr="00275CAF">
        <w:rPr>
          <w:sz w:val="24"/>
          <w:szCs w:val="24"/>
        </w:rPr>
        <w:t xml:space="preserve">Die Gesamtkosten </w:t>
      </w:r>
      <w:r w:rsidR="00125AB4" w:rsidRPr="00275CAF">
        <w:rPr>
          <w:sz w:val="24"/>
          <w:szCs w:val="24"/>
        </w:rPr>
        <w:t xml:space="preserve">des Projektes </w:t>
      </w:r>
      <w:r w:rsidR="00DB5F77" w:rsidRPr="00275CAF">
        <w:rPr>
          <w:sz w:val="24"/>
          <w:szCs w:val="24"/>
        </w:rPr>
        <w:t>dürfen €</w:t>
      </w:r>
      <w:r w:rsidR="00AD3B31">
        <w:rPr>
          <w:sz w:val="24"/>
          <w:szCs w:val="24"/>
        </w:rPr>
        <w:t> </w:t>
      </w:r>
      <w:r w:rsidR="00DB5F77" w:rsidRPr="00275CAF">
        <w:rPr>
          <w:sz w:val="24"/>
          <w:szCs w:val="24"/>
        </w:rPr>
        <w:t>250.000</w:t>
      </w:r>
      <w:r w:rsidR="009B5B96" w:rsidRPr="00275CAF">
        <w:rPr>
          <w:sz w:val="24"/>
          <w:szCs w:val="24"/>
        </w:rPr>
        <w:t xml:space="preserve"> nicht übersteigen.</w:t>
      </w:r>
      <w:r w:rsidR="00B15E5F" w:rsidRPr="00275CAF">
        <w:rPr>
          <w:sz w:val="24"/>
          <w:szCs w:val="24"/>
        </w:rPr>
        <w:t xml:space="preserve"> </w:t>
      </w:r>
      <w:r w:rsidRPr="00275CAF">
        <w:rPr>
          <w:sz w:val="24"/>
          <w:szCs w:val="24"/>
        </w:rPr>
        <w:t>Es kann maximal ein E-Commerce-Projekt im Rahmen dieser Richtlinie pro Unternehmen gefördert werden.</w:t>
      </w:r>
      <w:r w:rsidR="00D74C16" w:rsidRPr="00275CAF">
        <w:rPr>
          <w:sz w:val="24"/>
          <w:szCs w:val="24"/>
        </w:rPr>
        <w:t xml:space="preserve"> </w:t>
      </w:r>
    </w:p>
    <w:p w14:paraId="02B4E581" w14:textId="77777777" w:rsidR="00DB5F77" w:rsidRPr="00275CAF" w:rsidRDefault="00DB5F77" w:rsidP="00FD5644">
      <w:pPr>
        <w:spacing w:after="0" w:line="240" w:lineRule="auto"/>
        <w:ind w:hanging="720"/>
        <w:jc w:val="both"/>
        <w:rPr>
          <w:sz w:val="24"/>
          <w:szCs w:val="24"/>
        </w:rPr>
      </w:pPr>
    </w:p>
    <w:p w14:paraId="70D5355E" w14:textId="77777777" w:rsidR="000E4F4B" w:rsidRPr="00275CAF" w:rsidRDefault="000E4F4B" w:rsidP="00FD5644">
      <w:pPr>
        <w:spacing w:after="0" w:line="240" w:lineRule="auto"/>
        <w:rPr>
          <w:sz w:val="24"/>
          <w:szCs w:val="24"/>
        </w:rPr>
      </w:pPr>
    </w:p>
    <w:p w14:paraId="3E6D42A2" w14:textId="77777777" w:rsidR="00663D67" w:rsidRPr="0019103C" w:rsidRDefault="00663D67" w:rsidP="00663D67">
      <w:pPr>
        <w:spacing w:after="200" w:line="276" w:lineRule="auto"/>
        <w:jc w:val="center"/>
        <w:rPr>
          <w:b/>
          <w:sz w:val="28"/>
          <w:szCs w:val="28"/>
        </w:rPr>
      </w:pPr>
      <w:r w:rsidRPr="0019103C">
        <w:rPr>
          <w:b/>
          <w:sz w:val="28"/>
          <w:szCs w:val="28"/>
        </w:rPr>
        <w:t>§ 6</w:t>
      </w:r>
      <w:r w:rsidRPr="0019103C">
        <w:rPr>
          <w:b/>
          <w:sz w:val="28"/>
          <w:szCs w:val="28"/>
        </w:rPr>
        <w:tab/>
        <w:t>EU-Wettbewerbsrecht</w:t>
      </w:r>
    </w:p>
    <w:p w14:paraId="00A2062A" w14:textId="77777777" w:rsidR="00663D67" w:rsidRPr="0019103C" w:rsidRDefault="00663D67" w:rsidP="00663D67">
      <w:pPr>
        <w:spacing w:line="240" w:lineRule="auto"/>
        <w:rPr>
          <w:sz w:val="24"/>
          <w:szCs w:val="24"/>
          <w:lang w:val="de-AT"/>
        </w:rPr>
      </w:pPr>
    </w:p>
    <w:p w14:paraId="62D32D68" w14:textId="77777777" w:rsidR="00663D67" w:rsidRPr="0019103C" w:rsidRDefault="00663D67" w:rsidP="00663D67">
      <w:pPr>
        <w:jc w:val="both"/>
        <w:rPr>
          <w:rFonts w:cstheme="minorHAnsi"/>
          <w:sz w:val="24"/>
          <w:szCs w:val="24"/>
          <w:lang w:val="de-AT"/>
        </w:rPr>
      </w:pPr>
      <w:r w:rsidRPr="0019103C">
        <w:rPr>
          <w:rFonts w:cstheme="minorHAnsi"/>
          <w:sz w:val="24"/>
          <w:szCs w:val="24"/>
        </w:rPr>
        <w:t>Die Förderung wird auf Basis der Verordnung (EU) Nr. 1407/2013 der Kommission vom 18. Dezember 2013 über die Anwendung der Artikel 107 und 108 des Vertrages über die Arbeitsweise der Europäischen Union auf „de-minimis“-Beihilfen, ABl L 352 vom 24. Dezember 2013 (De-minimis-Verordnung) gewährt.</w:t>
      </w:r>
    </w:p>
    <w:p w14:paraId="5A81D8CE" w14:textId="77777777" w:rsidR="007B09F5" w:rsidRPr="00FD5644" w:rsidRDefault="007B09F5" w:rsidP="00FD5644">
      <w:pPr>
        <w:spacing w:after="0" w:line="240" w:lineRule="auto"/>
        <w:rPr>
          <w:sz w:val="24"/>
          <w:szCs w:val="24"/>
        </w:rPr>
      </w:pPr>
    </w:p>
    <w:p w14:paraId="42673CF7" w14:textId="77777777" w:rsidR="009E55CA" w:rsidRPr="007377F0" w:rsidRDefault="009E55CA" w:rsidP="00FD5644">
      <w:pPr>
        <w:pStyle w:val="berschrift1"/>
        <w:spacing w:before="0" w:line="240" w:lineRule="auto"/>
        <w:jc w:val="center"/>
        <w:rPr>
          <w:rFonts w:asciiTheme="minorHAnsi" w:hAnsiTheme="minorHAnsi" w:cstheme="minorHAnsi"/>
          <w:b/>
          <w:color w:val="auto"/>
          <w:sz w:val="28"/>
          <w:szCs w:val="28"/>
        </w:rPr>
      </w:pPr>
      <w:r w:rsidRPr="007377F0">
        <w:rPr>
          <w:rFonts w:asciiTheme="minorHAnsi" w:hAnsiTheme="minorHAnsi" w:cstheme="minorHAnsi"/>
          <w:b/>
          <w:color w:val="auto"/>
          <w:sz w:val="28"/>
          <w:szCs w:val="28"/>
        </w:rPr>
        <w:t xml:space="preserve">§ </w:t>
      </w:r>
      <w:r w:rsidR="00663D67" w:rsidRPr="0019103C">
        <w:rPr>
          <w:rFonts w:asciiTheme="minorHAnsi" w:hAnsiTheme="minorHAnsi" w:cstheme="minorHAnsi"/>
          <w:b/>
          <w:color w:val="auto"/>
          <w:sz w:val="28"/>
          <w:szCs w:val="28"/>
        </w:rPr>
        <w:t>7</w:t>
      </w:r>
      <w:r w:rsidRPr="007377F0">
        <w:rPr>
          <w:rFonts w:asciiTheme="minorHAnsi" w:hAnsiTheme="minorHAnsi" w:cstheme="minorHAnsi"/>
          <w:b/>
          <w:color w:val="auto"/>
          <w:sz w:val="28"/>
          <w:szCs w:val="28"/>
        </w:rPr>
        <w:t xml:space="preserve"> </w:t>
      </w:r>
      <w:r w:rsidR="00FD5644">
        <w:rPr>
          <w:rFonts w:asciiTheme="minorHAnsi" w:hAnsiTheme="minorHAnsi" w:cstheme="minorHAnsi"/>
          <w:b/>
          <w:color w:val="auto"/>
          <w:sz w:val="28"/>
          <w:szCs w:val="28"/>
        </w:rPr>
        <w:t xml:space="preserve">  </w:t>
      </w:r>
      <w:r w:rsidRPr="007377F0">
        <w:rPr>
          <w:rFonts w:asciiTheme="minorHAnsi" w:hAnsiTheme="minorHAnsi" w:cstheme="minorHAnsi"/>
          <w:b/>
          <w:color w:val="auto"/>
          <w:sz w:val="28"/>
          <w:szCs w:val="28"/>
        </w:rPr>
        <w:t>Förderungsansuchen</w:t>
      </w:r>
    </w:p>
    <w:p w14:paraId="0D9A9950" w14:textId="77777777" w:rsidR="009E55CA" w:rsidRDefault="009E55CA" w:rsidP="00FD5644">
      <w:pPr>
        <w:spacing w:after="0" w:line="240" w:lineRule="auto"/>
      </w:pPr>
    </w:p>
    <w:p w14:paraId="7EF853C5" w14:textId="77777777" w:rsidR="001C4727" w:rsidRPr="00275CAF" w:rsidRDefault="001C4727" w:rsidP="00FD5644">
      <w:pPr>
        <w:pStyle w:val="Listenabsatz"/>
        <w:numPr>
          <w:ilvl w:val="0"/>
          <w:numId w:val="24"/>
        </w:numPr>
        <w:spacing w:after="0" w:line="240" w:lineRule="auto"/>
        <w:ind w:hanging="720"/>
        <w:jc w:val="both"/>
        <w:rPr>
          <w:sz w:val="24"/>
          <w:szCs w:val="24"/>
        </w:rPr>
      </w:pPr>
      <w:r w:rsidRPr="00275CAF">
        <w:rPr>
          <w:sz w:val="24"/>
          <w:szCs w:val="24"/>
        </w:rPr>
        <w:t xml:space="preserve">Der Förderungsantrag ist vor Beginn des Projektes (Bestelldatum bzw. Auftragsvergabe) mittels </w:t>
      </w:r>
      <w:r w:rsidR="00997B2F" w:rsidRPr="00275CAF">
        <w:rPr>
          <w:sz w:val="24"/>
          <w:szCs w:val="24"/>
        </w:rPr>
        <w:t xml:space="preserve">des dafür vorgesehenen </w:t>
      </w:r>
      <w:r w:rsidRPr="00275CAF">
        <w:rPr>
          <w:sz w:val="24"/>
          <w:szCs w:val="24"/>
        </w:rPr>
        <w:t>Antragsformular</w:t>
      </w:r>
      <w:r w:rsidR="00997B2F" w:rsidRPr="00275CAF">
        <w:rPr>
          <w:sz w:val="24"/>
          <w:szCs w:val="24"/>
        </w:rPr>
        <w:t>s</w:t>
      </w:r>
      <w:r w:rsidRPr="00275CAF">
        <w:rPr>
          <w:sz w:val="24"/>
          <w:szCs w:val="24"/>
        </w:rPr>
        <w:t xml:space="preserve"> beim Amt der Vorarlberger Landesregierung, Abteilung Allgemeine Wirtschaft</w:t>
      </w:r>
      <w:r w:rsidR="00997B2F" w:rsidRPr="00275CAF">
        <w:rPr>
          <w:sz w:val="24"/>
          <w:szCs w:val="24"/>
        </w:rPr>
        <w:t>sangelegenheiten, einzureichen.</w:t>
      </w:r>
    </w:p>
    <w:p w14:paraId="17B2B83C" w14:textId="77777777" w:rsidR="00DB5F77" w:rsidRPr="00275CAF" w:rsidRDefault="00DB5F77" w:rsidP="00FD5644">
      <w:pPr>
        <w:pStyle w:val="Listenabsatz"/>
        <w:spacing w:after="0" w:line="240" w:lineRule="auto"/>
        <w:ind w:left="0" w:hanging="720"/>
        <w:jc w:val="both"/>
        <w:rPr>
          <w:sz w:val="24"/>
          <w:szCs w:val="24"/>
        </w:rPr>
      </w:pPr>
    </w:p>
    <w:p w14:paraId="3E529F74" w14:textId="77777777" w:rsidR="001C4727" w:rsidRPr="00275CAF" w:rsidRDefault="001C4727" w:rsidP="00FD5644">
      <w:pPr>
        <w:pStyle w:val="Listenabsatz"/>
        <w:numPr>
          <w:ilvl w:val="0"/>
          <w:numId w:val="24"/>
        </w:numPr>
        <w:spacing w:after="0" w:line="240" w:lineRule="auto"/>
        <w:ind w:hanging="720"/>
        <w:jc w:val="both"/>
        <w:rPr>
          <w:sz w:val="24"/>
          <w:szCs w:val="24"/>
        </w:rPr>
      </w:pPr>
      <w:r w:rsidRPr="00275CAF">
        <w:rPr>
          <w:sz w:val="24"/>
          <w:szCs w:val="24"/>
        </w:rPr>
        <w:t>Auf die Förderung besteht kein Rechtsanspruch. Die Förderung erfolgt nach Maßgabe der budgetären Bedeckung.</w:t>
      </w:r>
    </w:p>
    <w:p w14:paraId="02BBEDD3" w14:textId="77777777" w:rsidR="00DB5F77" w:rsidRPr="00275CAF" w:rsidRDefault="00DB5F77" w:rsidP="00FD5644">
      <w:pPr>
        <w:spacing w:after="0" w:line="240" w:lineRule="auto"/>
        <w:ind w:hanging="720"/>
        <w:jc w:val="both"/>
        <w:rPr>
          <w:sz w:val="24"/>
          <w:szCs w:val="24"/>
        </w:rPr>
      </w:pPr>
    </w:p>
    <w:p w14:paraId="7E9F7278" w14:textId="77777777" w:rsidR="009E55CA" w:rsidRPr="00275CAF" w:rsidRDefault="009E55CA" w:rsidP="00FD5644">
      <w:pPr>
        <w:pStyle w:val="Listenabsatz"/>
        <w:numPr>
          <w:ilvl w:val="0"/>
          <w:numId w:val="24"/>
        </w:numPr>
        <w:spacing w:after="0" w:line="240" w:lineRule="auto"/>
        <w:ind w:hanging="720"/>
        <w:jc w:val="both"/>
        <w:rPr>
          <w:sz w:val="24"/>
          <w:szCs w:val="24"/>
        </w:rPr>
      </w:pPr>
      <w:r w:rsidRPr="00275CAF">
        <w:rPr>
          <w:sz w:val="24"/>
          <w:szCs w:val="24"/>
        </w:rPr>
        <w:t>Die Förderungsvergabe erfolgt chronologisch entsprechend der Reihenfolge des Eintreffens der vollständigen und beurteilungsfähigen Förderungsansuchen bis zu dem Zeitpunkt, zu dem die zur Verfügung stehenden Budgetmittel</w:t>
      </w:r>
      <w:r w:rsidR="001C4727" w:rsidRPr="00275CAF">
        <w:rPr>
          <w:sz w:val="24"/>
          <w:szCs w:val="24"/>
        </w:rPr>
        <w:t xml:space="preserve"> pro </w:t>
      </w:r>
      <w:r w:rsidR="009B5B96" w:rsidRPr="00275CAF">
        <w:rPr>
          <w:sz w:val="24"/>
          <w:szCs w:val="24"/>
        </w:rPr>
        <w:t>Kalenderj</w:t>
      </w:r>
      <w:r w:rsidR="001C4727" w:rsidRPr="00275CAF">
        <w:rPr>
          <w:sz w:val="24"/>
          <w:szCs w:val="24"/>
        </w:rPr>
        <w:t>ahr</w:t>
      </w:r>
      <w:r w:rsidRPr="00275CAF">
        <w:rPr>
          <w:sz w:val="24"/>
          <w:szCs w:val="24"/>
        </w:rPr>
        <w:t xml:space="preserve"> verbraucht sind.</w:t>
      </w:r>
      <w:r w:rsidR="009B5B96" w:rsidRPr="00275CAF">
        <w:rPr>
          <w:sz w:val="24"/>
          <w:szCs w:val="24"/>
        </w:rPr>
        <w:t xml:space="preserve"> Wenn die zur Verfügung stehenden Mittel im jeweiligen Kalenderjahr ausgeschöpft sind, sind </w:t>
      </w:r>
      <w:r w:rsidR="00067BF9" w:rsidRPr="00275CAF">
        <w:rPr>
          <w:sz w:val="24"/>
          <w:szCs w:val="24"/>
        </w:rPr>
        <w:t xml:space="preserve">in diesem Kalenderjahr </w:t>
      </w:r>
      <w:r w:rsidR="009B5B96" w:rsidRPr="00275CAF">
        <w:rPr>
          <w:sz w:val="24"/>
          <w:szCs w:val="24"/>
        </w:rPr>
        <w:t>keine Antragstellungen mehr möglich.</w:t>
      </w:r>
    </w:p>
    <w:p w14:paraId="45F755FD" w14:textId="77777777" w:rsidR="009B5B96" w:rsidRPr="00275CAF" w:rsidRDefault="009B5B96" w:rsidP="00FD5644">
      <w:pPr>
        <w:spacing w:after="0" w:line="240" w:lineRule="auto"/>
        <w:jc w:val="both"/>
        <w:rPr>
          <w:sz w:val="24"/>
          <w:szCs w:val="24"/>
        </w:rPr>
      </w:pPr>
    </w:p>
    <w:p w14:paraId="3CAAA726" w14:textId="77777777" w:rsidR="007B09F5" w:rsidRDefault="007B09F5" w:rsidP="00FD5644">
      <w:pPr>
        <w:spacing w:after="0" w:line="240" w:lineRule="auto"/>
        <w:jc w:val="both"/>
      </w:pPr>
    </w:p>
    <w:p w14:paraId="79DB2748" w14:textId="77777777" w:rsidR="001C4727" w:rsidRPr="007377F0" w:rsidRDefault="001C4727" w:rsidP="00FD5644">
      <w:pPr>
        <w:pStyle w:val="berschrift1"/>
        <w:spacing w:before="0" w:line="240" w:lineRule="auto"/>
        <w:jc w:val="center"/>
        <w:rPr>
          <w:rFonts w:asciiTheme="minorHAnsi" w:hAnsiTheme="minorHAnsi" w:cstheme="minorHAnsi"/>
          <w:b/>
          <w:color w:val="auto"/>
          <w:sz w:val="28"/>
          <w:szCs w:val="28"/>
        </w:rPr>
      </w:pPr>
      <w:r w:rsidRPr="007377F0">
        <w:rPr>
          <w:rFonts w:asciiTheme="minorHAnsi" w:hAnsiTheme="minorHAnsi" w:cstheme="minorHAnsi"/>
          <w:b/>
          <w:color w:val="auto"/>
          <w:sz w:val="28"/>
          <w:szCs w:val="28"/>
        </w:rPr>
        <w:t>§</w:t>
      </w:r>
      <w:r w:rsidRPr="0019103C">
        <w:rPr>
          <w:rFonts w:asciiTheme="minorHAnsi" w:hAnsiTheme="minorHAnsi" w:cstheme="minorHAnsi"/>
          <w:b/>
          <w:color w:val="auto"/>
          <w:sz w:val="28"/>
          <w:szCs w:val="28"/>
        </w:rPr>
        <w:t xml:space="preserve"> </w:t>
      </w:r>
      <w:r w:rsidR="00663D67" w:rsidRPr="0019103C">
        <w:rPr>
          <w:rFonts w:asciiTheme="minorHAnsi" w:hAnsiTheme="minorHAnsi" w:cstheme="minorHAnsi"/>
          <w:b/>
          <w:color w:val="auto"/>
          <w:sz w:val="28"/>
          <w:szCs w:val="28"/>
        </w:rPr>
        <w:t>8</w:t>
      </w:r>
      <w:r w:rsidRPr="0019103C">
        <w:rPr>
          <w:rFonts w:asciiTheme="minorHAnsi" w:hAnsiTheme="minorHAnsi" w:cstheme="minorHAnsi"/>
          <w:b/>
          <w:color w:val="auto"/>
          <w:sz w:val="28"/>
          <w:szCs w:val="28"/>
        </w:rPr>
        <w:t xml:space="preserve"> </w:t>
      </w:r>
      <w:r w:rsidR="00FD5644" w:rsidRPr="0019103C">
        <w:rPr>
          <w:rFonts w:asciiTheme="minorHAnsi" w:hAnsiTheme="minorHAnsi" w:cstheme="minorHAnsi"/>
          <w:b/>
          <w:color w:val="auto"/>
          <w:sz w:val="28"/>
          <w:szCs w:val="28"/>
        </w:rPr>
        <w:t xml:space="preserve">  </w:t>
      </w:r>
      <w:r w:rsidRPr="007377F0">
        <w:rPr>
          <w:rFonts w:asciiTheme="minorHAnsi" w:hAnsiTheme="minorHAnsi" w:cstheme="minorHAnsi"/>
          <w:b/>
          <w:color w:val="auto"/>
          <w:sz w:val="28"/>
          <w:szCs w:val="28"/>
        </w:rPr>
        <w:t>Ausschluss der Förderung</w:t>
      </w:r>
    </w:p>
    <w:p w14:paraId="677EE41F" w14:textId="77777777" w:rsidR="001C4727" w:rsidRDefault="001C4727" w:rsidP="00FD5644">
      <w:pPr>
        <w:spacing w:after="0" w:line="240" w:lineRule="auto"/>
      </w:pPr>
    </w:p>
    <w:p w14:paraId="0A0279EB" w14:textId="77777777" w:rsidR="001C4727" w:rsidRPr="00275CAF" w:rsidRDefault="001C4727" w:rsidP="00FD5644">
      <w:pPr>
        <w:spacing w:after="0" w:line="240" w:lineRule="auto"/>
        <w:jc w:val="both"/>
        <w:rPr>
          <w:sz w:val="24"/>
          <w:szCs w:val="24"/>
        </w:rPr>
      </w:pPr>
      <w:r w:rsidRPr="00275CAF">
        <w:rPr>
          <w:sz w:val="24"/>
          <w:szCs w:val="24"/>
        </w:rPr>
        <w:t xml:space="preserve">Gegen den Förderungswerber bzw. bei Gesellschaften gegen einen geschäftsführenden Gesellschafter darf bzw. dürfen </w:t>
      </w:r>
    </w:p>
    <w:p w14:paraId="1C0BDB21" w14:textId="77777777" w:rsidR="00B15E5F" w:rsidRPr="00275CAF" w:rsidRDefault="00B15E5F" w:rsidP="00FD5644">
      <w:pPr>
        <w:spacing w:after="0" w:line="240" w:lineRule="auto"/>
        <w:jc w:val="both"/>
        <w:rPr>
          <w:sz w:val="24"/>
          <w:szCs w:val="24"/>
        </w:rPr>
      </w:pPr>
    </w:p>
    <w:p w14:paraId="0DE241A8" w14:textId="77777777" w:rsidR="001C4727" w:rsidRPr="00275CAF" w:rsidRDefault="001C4727" w:rsidP="00FD5644">
      <w:pPr>
        <w:spacing w:after="0" w:line="240" w:lineRule="auto"/>
        <w:ind w:left="993" w:hanging="284"/>
        <w:jc w:val="both"/>
        <w:rPr>
          <w:sz w:val="24"/>
          <w:szCs w:val="24"/>
        </w:rPr>
      </w:pPr>
      <w:r w:rsidRPr="00275CAF">
        <w:rPr>
          <w:sz w:val="24"/>
          <w:szCs w:val="24"/>
        </w:rPr>
        <w:t xml:space="preserve">a. </w:t>
      </w:r>
      <w:r w:rsidR="002E1CB8" w:rsidRPr="00275CAF">
        <w:rPr>
          <w:sz w:val="24"/>
          <w:szCs w:val="24"/>
        </w:rPr>
        <w:tab/>
      </w:r>
      <w:r w:rsidRPr="00275CAF">
        <w:rPr>
          <w:sz w:val="24"/>
          <w:szCs w:val="24"/>
        </w:rPr>
        <w:t>kein Insolvenzverfahren anhängig sein bzw. muss seit seiner Aufhebung ohne vollständige Erfüllung eines Sanierungs- oder Zahlungsplanes ein Jahr vergangen sein;</w:t>
      </w:r>
    </w:p>
    <w:p w14:paraId="3BFD7424" w14:textId="77777777" w:rsidR="001C4727" w:rsidRPr="00275CAF" w:rsidRDefault="00B15E5F" w:rsidP="00FD5644">
      <w:pPr>
        <w:spacing w:after="0" w:line="240" w:lineRule="auto"/>
        <w:ind w:left="993" w:hanging="284"/>
        <w:jc w:val="both"/>
        <w:rPr>
          <w:sz w:val="24"/>
          <w:szCs w:val="24"/>
        </w:rPr>
      </w:pPr>
      <w:r w:rsidRPr="00275CAF">
        <w:rPr>
          <w:sz w:val="24"/>
          <w:szCs w:val="24"/>
        </w:rPr>
        <w:lastRenderedPageBreak/>
        <w:t xml:space="preserve">b. </w:t>
      </w:r>
      <w:r w:rsidR="002E1CB8" w:rsidRPr="00275CAF">
        <w:rPr>
          <w:sz w:val="24"/>
          <w:szCs w:val="24"/>
        </w:rPr>
        <w:tab/>
      </w:r>
      <w:r w:rsidRPr="00275CAF">
        <w:rPr>
          <w:sz w:val="24"/>
          <w:szCs w:val="24"/>
        </w:rPr>
        <w:t xml:space="preserve">die gesetzlich </w:t>
      </w:r>
      <w:r w:rsidR="001C4727" w:rsidRPr="00275CAF">
        <w:rPr>
          <w:sz w:val="24"/>
          <w:szCs w:val="24"/>
        </w:rPr>
        <w:t>vorgesehenen Voraussetzungen für die Eröffnung eines Insolvenzverfahrens auf Antrag der Gläubiger nicht erfüllt sein.</w:t>
      </w:r>
    </w:p>
    <w:p w14:paraId="055D6611" w14:textId="77777777" w:rsidR="009B5B96" w:rsidRDefault="009B5B96" w:rsidP="00FD5644">
      <w:pPr>
        <w:spacing w:after="0" w:line="240" w:lineRule="auto"/>
      </w:pPr>
    </w:p>
    <w:p w14:paraId="6B215D9C" w14:textId="77777777" w:rsidR="007B09F5" w:rsidRDefault="007B09F5" w:rsidP="00FD5644">
      <w:pPr>
        <w:spacing w:after="0" w:line="240" w:lineRule="auto"/>
      </w:pPr>
    </w:p>
    <w:p w14:paraId="7A1115CA" w14:textId="77777777" w:rsidR="000E4F4B" w:rsidRPr="00ED0EB3" w:rsidRDefault="000E4F4B" w:rsidP="00FD5644">
      <w:pPr>
        <w:spacing w:after="0" w:line="240" w:lineRule="auto"/>
        <w:jc w:val="center"/>
        <w:rPr>
          <w:b/>
          <w:iCs/>
          <w:sz w:val="28"/>
          <w:szCs w:val="28"/>
        </w:rPr>
      </w:pPr>
      <w:bookmarkStart w:id="1" w:name="_Toc52205211"/>
      <w:r>
        <w:rPr>
          <w:b/>
          <w:iCs/>
          <w:sz w:val="28"/>
          <w:szCs w:val="28"/>
        </w:rPr>
        <w:t>§</w:t>
      </w:r>
      <w:r w:rsidRPr="0019103C">
        <w:rPr>
          <w:b/>
          <w:iCs/>
          <w:sz w:val="28"/>
          <w:szCs w:val="28"/>
        </w:rPr>
        <w:t xml:space="preserve"> </w:t>
      </w:r>
      <w:r w:rsidR="00663D67" w:rsidRPr="0019103C">
        <w:rPr>
          <w:b/>
          <w:iCs/>
          <w:sz w:val="28"/>
          <w:szCs w:val="28"/>
        </w:rPr>
        <w:t>9</w:t>
      </w:r>
      <w:r w:rsidRPr="0019103C">
        <w:rPr>
          <w:b/>
          <w:iCs/>
          <w:sz w:val="28"/>
          <w:szCs w:val="28"/>
        </w:rPr>
        <w:t xml:space="preserve"> </w:t>
      </w:r>
      <w:r w:rsidR="00FD5644" w:rsidRPr="0019103C">
        <w:rPr>
          <w:b/>
          <w:iCs/>
          <w:sz w:val="28"/>
          <w:szCs w:val="28"/>
        </w:rPr>
        <w:t xml:space="preserve">  </w:t>
      </w:r>
      <w:r w:rsidRPr="00ED0EB3">
        <w:rPr>
          <w:b/>
          <w:iCs/>
          <w:sz w:val="28"/>
          <w:szCs w:val="28"/>
        </w:rPr>
        <w:t>Schlussbestimmungen</w:t>
      </w:r>
    </w:p>
    <w:p w14:paraId="7C7DEAC7" w14:textId="77777777" w:rsidR="000E4F4B" w:rsidRDefault="000E4F4B" w:rsidP="00FD5644">
      <w:pPr>
        <w:spacing w:after="0" w:line="240" w:lineRule="auto"/>
        <w:rPr>
          <w:iCs/>
        </w:rPr>
      </w:pPr>
    </w:p>
    <w:p w14:paraId="05A4D300" w14:textId="77777777" w:rsidR="00B15E5F" w:rsidRPr="00275CAF" w:rsidRDefault="000E4F4B" w:rsidP="00FD5644">
      <w:pPr>
        <w:spacing w:after="0" w:line="240" w:lineRule="auto"/>
        <w:jc w:val="both"/>
        <w:rPr>
          <w:sz w:val="24"/>
          <w:szCs w:val="24"/>
        </w:rPr>
      </w:pPr>
      <w:r w:rsidRPr="00275CAF">
        <w:rPr>
          <w:iCs/>
          <w:sz w:val="24"/>
          <w:szCs w:val="24"/>
        </w:rPr>
        <w:t>Diese Richtlinie basiert auf den Bestimmungen der Allgemeinen Förderungsrichtlinie des Landes (AFRL). Sofern in dieser Richtlinie Bestimmungen nicht explizit genannt oder geregelt sind, insbesondere die Bestimmungen zur Datenverwendung und Datenveröffentlichung gemäß § 5 AFRL, gelten die jeweils aktuellen Bestimmungen der AFRL.</w:t>
      </w:r>
      <w:r w:rsidRPr="00275CAF">
        <w:rPr>
          <w:sz w:val="24"/>
          <w:szCs w:val="24"/>
        </w:rPr>
        <w:t xml:space="preserve"> </w:t>
      </w:r>
    </w:p>
    <w:p w14:paraId="1F3F6079" w14:textId="77777777" w:rsidR="00275CAF" w:rsidRDefault="00275CAF" w:rsidP="00FD5644">
      <w:pPr>
        <w:spacing w:after="0" w:line="240" w:lineRule="auto"/>
        <w:jc w:val="both"/>
        <w:rPr>
          <w:sz w:val="24"/>
          <w:szCs w:val="24"/>
        </w:rPr>
      </w:pPr>
    </w:p>
    <w:p w14:paraId="5D64C1A5" w14:textId="77777777" w:rsidR="000E4F4B" w:rsidRPr="00275CAF" w:rsidRDefault="00E06C7E" w:rsidP="00FD5644">
      <w:pPr>
        <w:spacing w:after="0" w:line="240" w:lineRule="auto"/>
        <w:jc w:val="both"/>
        <w:rPr>
          <w:iCs/>
          <w:sz w:val="24"/>
          <w:szCs w:val="24"/>
        </w:rPr>
      </w:pPr>
      <w:hyperlink r:id="rId11" w:history="1">
        <w:r w:rsidR="000E4F4B" w:rsidRPr="00275CAF">
          <w:rPr>
            <w:rStyle w:val="Hyperlink"/>
            <w:iCs/>
            <w:sz w:val="24"/>
            <w:szCs w:val="24"/>
          </w:rPr>
          <w:t>http://www.vorarlberg.at/pdf/allgemeinefoerderungricht.pdf</w:t>
        </w:r>
      </w:hyperlink>
      <w:r w:rsidR="000E4F4B" w:rsidRPr="00275CAF">
        <w:rPr>
          <w:iCs/>
          <w:sz w:val="24"/>
          <w:szCs w:val="24"/>
        </w:rPr>
        <w:t xml:space="preserve"> </w:t>
      </w:r>
    </w:p>
    <w:p w14:paraId="7D65BFEA" w14:textId="77777777" w:rsidR="00275CAF" w:rsidRPr="00FD5644" w:rsidRDefault="00275CAF" w:rsidP="00FD5644">
      <w:pPr>
        <w:spacing w:after="0" w:line="240" w:lineRule="auto"/>
        <w:jc w:val="center"/>
        <w:rPr>
          <w:b/>
          <w:sz w:val="24"/>
          <w:szCs w:val="24"/>
        </w:rPr>
      </w:pPr>
    </w:p>
    <w:p w14:paraId="43806034" w14:textId="77777777" w:rsidR="00275CAF" w:rsidRPr="00FD5644" w:rsidRDefault="00275CAF" w:rsidP="00FD5644">
      <w:pPr>
        <w:spacing w:after="0" w:line="240" w:lineRule="auto"/>
        <w:jc w:val="center"/>
        <w:rPr>
          <w:b/>
          <w:sz w:val="24"/>
          <w:szCs w:val="24"/>
        </w:rPr>
      </w:pPr>
    </w:p>
    <w:p w14:paraId="2EF78FD2" w14:textId="77777777" w:rsidR="000E4F4B" w:rsidRPr="004E0BB9" w:rsidRDefault="000E4F4B" w:rsidP="00FD5644">
      <w:pPr>
        <w:spacing w:after="0" w:line="240" w:lineRule="auto"/>
        <w:jc w:val="center"/>
        <w:rPr>
          <w:b/>
          <w:sz w:val="28"/>
          <w:szCs w:val="28"/>
        </w:rPr>
      </w:pPr>
      <w:r>
        <w:rPr>
          <w:b/>
          <w:sz w:val="28"/>
          <w:szCs w:val="28"/>
        </w:rPr>
        <w:t>§</w:t>
      </w:r>
      <w:r w:rsidRPr="0019103C">
        <w:rPr>
          <w:b/>
          <w:sz w:val="28"/>
          <w:szCs w:val="28"/>
        </w:rPr>
        <w:t xml:space="preserve"> </w:t>
      </w:r>
      <w:r w:rsidR="00663D67" w:rsidRPr="0019103C">
        <w:rPr>
          <w:b/>
          <w:sz w:val="28"/>
          <w:szCs w:val="28"/>
        </w:rPr>
        <w:t>10</w:t>
      </w:r>
      <w:r w:rsidR="00A82FC8" w:rsidRPr="0019103C">
        <w:rPr>
          <w:b/>
          <w:sz w:val="28"/>
          <w:szCs w:val="28"/>
        </w:rPr>
        <w:t xml:space="preserve">   </w:t>
      </w:r>
      <w:r w:rsidRPr="004E0BB9">
        <w:rPr>
          <w:b/>
          <w:sz w:val="28"/>
          <w:szCs w:val="28"/>
        </w:rPr>
        <w:t>Gültigkeit</w:t>
      </w:r>
    </w:p>
    <w:p w14:paraId="6A553877" w14:textId="77777777" w:rsidR="000E4F4B" w:rsidRPr="004E0BB9" w:rsidRDefault="000E4F4B" w:rsidP="00FD5644">
      <w:pPr>
        <w:spacing w:after="0" w:line="240" w:lineRule="auto"/>
        <w:jc w:val="both"/>
        <w:rPr>
          <w:szCs w:val="24"/>
        </w:rPr>
      </w:pPr>
    </w:p>
    <w:p w14:paraId="62640A84" w14:textId="77777777" w:rsidR="000E4F4B" w:rsidRPr="00275CAF" w:rsidRDefault="000E4F4B" w:rsidP="00FD5644">
      <w:pPr>
        <w:spacing w:after="0" w:line="240" w:lineRule="auto"/>
        <w:jc w:val="both"/>
        <w:rPr>
          <w:sz w:val="24"/>
          <w:szCs w:val="24"/>
        </w:rPr>
      </w:pPr>
      <w:r w:rsidRPr="00275CAF">
        <w:rPr>
          <w:sz w:val="24"/>
          <w:szCs w:val="24"/>
        </w:rPr>
        <w:t>Die Förderlaufzeit beginnt am 1.1.2021 und endet am 31.12.202</w:t>
      </w:r>
      <w:r w:rsidR="00AD3B31">
        <w:rPr>
          <w:sz w:val="24"/>
          <w:szCs w:val="24"/>
        </w:rPr>
        <w:t>3</w:t>
      </w:r>
      <w:r w:rsidRPr="00275CAF">
        <w:rPr>
          <w:sz w:val="24"/>
          <w:szCs w:val="24"/>
        </w:rPr>
        <w:t>.</w:t>
      </w:r>
    </w:p>
    <w:bookmarkEnd w:id="1"/>
    <w:p w14:paraId="32F44943" w14:textId="77777777" w:rsidR="001C4727" w:rsidRPr="00275CAF" w:rsidRDefault="001C4727" w:rsidP="00FD5644">
      <w:pPr>
        <w:spacing w:after="0" w:line="240" w:lineRule="auto"/>
        <w:rPr>
          <w:sz w:val="24"/>
          <w:szCs w:val="24"/>
        </w:rPr>
      </w:pPr>
    </w:p>
    <w:sectPr w:rsidR="001C4727" w:rsidRPr="00275CAF" w:rsidSect="00791DDC">
      <w:headerReference w:type="default" r:id="rId12"/>
      <w:footerReference w:type="default" r:id="rId13"/>
      <w:headerReference w:type="first" r:id="rId14"/>
      <w:pgSz w:w="11906" w:h="16838"/>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6AE01C" w14:textId="77777777" w:rsidR="00605823" w:rsidRDefault="00605823" w:rsidP="00174F5B">
      <w:pPr>
        <w:spacing w:after="0" w:line="240" w:lineRule="auto"/>
      </w:pPr>
      <w:r>
        <w:separator/>
      </w:r>
    </w:p>
  </w:endnote>
  <w:endnote w:type="continuationSeparator" w:id="0">
    <w:p w14:paraId="38DDB172" w14:textId="77777777" w:rsidR="00605823" w:rsidRDefault="00605823" w:rsidP="00174F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67706050"/>
      <w:docPartObj>
        <w:docPartGallery w:val="Page Numbers (Bottom of Page)"/>
        <w:docPartUnique/>
      </w:docPartObj>
    </w:sdtPr>
    <w:sdtEndPr/>
    <w:sdtContent>
      <w:p w14:paraId="253E309E" w14:textId="77777777" w:rsidR="00174F5B" w:rsidRDefault="00174F5B">
        <w:pPr>
          <w:pStyle w:val="Fuzeile"/>
          <w:jc w:val="right"/>
        </w:pPr>
        <w:r>
          <w:fldChar w:fldCharType="begin"/>
        </w:r>
        <w:r>
          <w:instrText>PAGE   \* MERGEFORMAT</w:instrText>
        </w:r>
        <w:r>
          <w:fldChar w:fldCharType="separate"/>
        </w:r>
        <w:r w:rsidR="00B10347">
          <w:rPr>
            <w:noProof/>
          </w:rPr>
          <w:t>4</w:t>
        </w:r>
        <w:r>
          <w:fldChar w:fldCharType="end"/>
        </w:r>
      </w:p>
    </w:sdtContent>
  </w:sdt>
  <w:p w14:paraId="5DDBD392" w14:textId="77777777" w:rsidR="00174F5B" w:rsidRDefault="00174F5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AB6AFA" w14:textId="77777777" w:rsidR="00605823" w:rsidRDefault="00605823" w:rsidP="00174F5B">
      <w:pPr>
        <w:spacing w:after="0" w:line="240" w:lineRule="auto"/>
      </w:pPr>
      <w:r>
        <w:separator/>
      </w:r>
    </w:p>
  </w:footnote>
  <w:footnote w:type="continuationSeparator" w:id="0">
    <w:p w14:paraId="7EFD055D" w14:textId="77777777" w:rsidR="00605823" w:rsidRDefault="00605823" w:rsidP="00174F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4A4580" w14:textId="77777777" w:rsidR="00791DDC" w:rsidRDefault="00791DDC">
    <w:pPr>
      <w:pStyle w:val="Kopfzeile"/>
    </w:pPr>
    <w:r>
      <w:tab/>
    </w:r>
    <w:r>
      <w:tab/>
      <w:t xml:space="preserve">   </w:t>
    </w:r>
  </w:p>
  <w:p w14:paraId="2A592B8C" w14:textId="77777777" w:rsidR="00791DDC" w:rsidRDefault="00791DD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A7D0D1" w14:textId="77777777" w:rsidR="00791DDC" w:rsidRDefault="00791DDC">
    <w:pPr>
      <w:pStyle w:val="Kopfzeile"/>
    </w:pPr>
    <w:r>
      <w:tab/>
    </w:r>
    <w:r>
      <w:tab/>
      <w:t xml:space="preserve">   </w:t>
    </w:r>
    <w:r>
      <w:rPr>
        <w:noProof/>
        <w:lang w:val="de-AT" w:eastAsia="de-AT"/>
      </w:rPr>
      <w:drawing>
        <wp:inline distT="0" distB="0" distL="0" distR="0" wp14:anchorId="35E23D03" wp14:editId="434B73AE">
          <wp:extent cx="1799590" cy="586740"/>
          <wp:effectExtent l="0" t="0" r="0" b="3810"/>
          <wp:docPr id="1" name="Grafik 1"/>
          <wp:cNvGraphicFramePr/>
          <a:graphic xmlns:a="http://schemas.openxmlformats.org/drawingml/2006/main">
            <a:graphicData uri="http://schemas.openxmlformats.org/drawingml/2006/picture">
              <pic:pic xmlns:pic="http://schemas.openxmlformats.org/drawingml/2006/picture">
                <pic:nvPicPr>
                  <pic:cNvPr id="20" name="Grafik 20"/>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9590" cy="58674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753D09"/>
    <w:multiLevelType w:val="hybridMultilevel"/>
    <w:tmpl w:val="7E2CBDC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10C17D15"/>
    <w:multiLevelType w:val="hybridMultilevel"/>
    <w:tmpl w:val="B280809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15047E6B"/>
    <w:multiLevelType w:val="hybridMultilevel"/>
    <w:tmpl w:val="42C4D5B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20F45A33"/>
    <w:multiLevelType w:val="hybridMultilevel"/>
    <w:tmpl w:val="61B2532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21FA3790"/>
    <w:multiLevelType w:val="hybridMultilevel"/>
    <w:tmpl w:val="A254E3E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237D19B7"/>
    <w:multiLevelType w:val="hybridMultilevel"/>
    <w:tmpl w:val="4B8CA978"/>
    <w:lvl w:ilvl="0" w:tplc="0C070019">
      <w:start w:val="1"/>
      <w:numFmt w:val="lowerLetter"/>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6" w15:restartNumberingAfterBreak="0">
    <w:nsid w:val="2BD7036D"/>
    <w:multiLevelType w:val="hybridMultilevel"/>
    <w:tmpl w:val="13644AF2"/>
    <w:lvl w:ilvl="0" w:tplc="0C070019">
      <w:start w:val="1"/>
      <w:numFmt w:val="lowerLetter"/>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7" w15:restartNumberingAfterBreak="0">
    <w:nsid w:val="2F3E1774"/>
    <w:multiLevelType w:val="hybridMultilevel"/>
    <w:tmpl w:val="F9EA3FBA"/>
    <w:lvl w:ilvl="0" w:tplc="0C070019">
      <w:start w:val="1"/>
      <w:numFmt w:val="lowerLetter"/>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8" w15:restartNumberingAfterBreak="0">
    <w:nsid w:val="31BE0EEC"/>
    <w:multiLevelType w:val="hybridMultilevel"/>
    <w:tmpl w:val="705E653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34AF5052"/>
    <w:multiLevelType w:val="hybridMultilevel"/>
    <w:tmpl w:val="5BB0D7B6"/>
    <w:lvl w:ilvl="0" w:tplc="0C070019">
      <w:start w:val="1"/>
      <w:numFmt w:val="lowerLetter"/>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0" w15:restartNumberingAfterBreak="0">
    <w:nsid w:val="39CD2343"/>
    <w:multiLevelType w:val="hybridMultilevel"/>
    <w:tmpl w:val="F6E43DB6"/>
    <w:lvl w:ilvl="0" w:tplc="0C070019">
      <w:start w:val="1"/>
      <w:numFmt w:val="lowerLetter"/>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1" w15:restartNumberingAfterBreak="0">
    <w:nsid w:val="3A2155E0"/>
    <w:multiLevelType w:val="hybridMultilevel"/>
    <w:tmpl w:val="7AEADCB8"/>
    <w:lvl w:ilvl="0" w:tplc="0C070015">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2" w15:restartNumberingAfterBreak="0">
    <w:nsid w:val="3AC27098"/>
    <w:multiLevelType w:val="hybridMultilevel"/>
    <w:tmpl w:val="9AC87ECA"/>
    <w:lvl w:ilvl="0" w:tplc="0C070019">
      <w:start w:val="1"/>
      <w:numFmt w:val="lowerLetter"/>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3" w15:restartNumberingAfterBreak="0">
    <w:nsid w:val="3FEE4944"/>
    <w:multiLevelType w:val="hybridMultilevel"/>
    <w:tmpl w:val="F3BADC96"/>
    <w:lvl w:ilvl="0" w:tplc="0C070019">
      <w:start w:val="1"/>
      <w:numFmt w:val="lowerLetter"/>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4" w15:restartNumberingAfterBreak="0">
    <w:nsid w:val="46DD403A"/>
    <w:multiLevelType w:val="hybridMultilevel"/>
    <w:tmpl w:val="ADC01BAC"/>
    <w:lvl w:ilvl="0" w:tplc="0C070015">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5" w15:restartNumberingAfterBreak="0">
    <w:nsid w:val="4D6E41CB"/>
    <w:multiLevelType w:val="hybridMultilevel"/>
    <w:tmpl w:val="A74A74B4"/>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6" w15:restartNumberingAfterBreak="0">
    <w:nsid w:val="512836E7"/>
    <w:multiLevelType w:val="hybridMultilevel"/>
    <w:tmpl w:val="F7D89D4C"/>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7" w15:restartNumberingAfterBreak="0">
    <w:nsid w:val="596D0258"/>
    <w:multiLevelType w:val="hybridMultilevel"/>
    <w:tmpl w:val="805E3D6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8" w15:restartNumberingAfterBreak="0">
    <w:nsid w:val="5AAC467C"/>
    <w:multiLevelType w:val="hybridMultilevel"/>
    <w:tmpl w:val="68980528"/>
    <w:lvl w:ilvl="0" w:tplc="0C070019">
      <w:start w:val="1"/>
      <w:numFmt w:val="lowerLetter"/>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9" w15:restartNumberingAfterBreak="0">
    <w:nsid w:val="5C880884"/>
    <w:multiLevelType w:val="hybridMultilevel"/>
    <w:tmpl w:val="CDA26A48"/>
    <w:lvl w:ilvl="0" w:tplc="0C070015">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0" w15:restartNumberingAfterBreak="0">
    <w:nsid w:val="67BB4370"/>
    <w:multiLevelType w:val="hybridMultilevel"/>
    <w:tmpl w:val="427C2212"/>
    <w:lvl w:ilvl="0" w:tplc="0C070015">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1" w15:restartNumberingAfterBreak="0">
    <w:nsid w:val="683F79DB"/>
    <w:multiLevelType w:val="hybridMultilevel"/>
    <w:tmpl w:val="1034D6C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2" w15:restartNumberingAfterBreak="0">
    <w:nsid w:val="76683C05"/>
    <w:multiLevelType w:val="hybridMultilevel"/>
    <w:tmpl w:val="EED63FD4"/>
    <w:lvl w:ilvl="0" w:tplc="0C070015">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3" w15:restartNumberingAfterBreak="0">
    <w:nsid w:val="7D946AEB"/>
    <w:multiLevelType w:val="hybridMultilevel"/>
    <w:tmpl w:val="A394E4BC"/>
    <w:lvl w:ilvl="0" w:tplc="0C070015">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17"/>
  </w:num>
  <w:num w:numId="2">
    <w:abstractNumId w:val="18"/>
  </w:num>
  <w:num w:numId="3">
    <w:abstractNumId w:val="7"/>
  </w:num>
  <w:num w:numId="4">
    <w:abstractNumId w:val="12"/>
  </w:num>
  <w:num w:numId="5">
    <w:abstractNumId w:val="6"/>
  </w:num>
  <w:num w:numId="6">
    <w:abstractNumId w:val="15"/>
  </w:num>
  <w:num w:numId="7">
    <w:abstractNumId w:val="16"/>
  </w:num>
  <w:num w:numId="8">
    <w:abstractNumId w:val="13"/>
  </w:num>
  <w:num w:numId="9">
    <w:abstractNumId w:val="9"/>
  </w:num>
  <w:num w:numId="10">
    <w:abstractNumId w:val="4"/>
  </w:num>
  <w:num w:numId="11">
    <w:abstractNumId w:val="1"/>
  </w:num>
  <w:num w:numId="12">
    <w:abstractNumId w:val="8"/>
  </w:num>
  <w:num w:numId="13">
    <w:abstractNumId w:val="3"/>
  </w:num>
  <w:num w:numId="14">
    <w:abstractNumId w:val="2"/>
  </w:num>
  <w:num w:numId="15">
    <w:abstractNumId w:val="0"/>
  </w:num>
  <w:num w:numId="16">
    <w:abstractNumId w:val="21"/>
  </w:num>
  <w:num w:numId="17">
    <w:abstractNumId w:val="5"/>
  </w:num>
  <w:num w:numId="18">
    <w:abstractNumId w:val="10"/>
  </w:num>
  <w:num w:numId="19">
    <w:abstractNumId w:val="19"/>
  </w:num>
  <w:num w:numId="20">
    <w:abstractNumId w:val="11"/>
  </w:num>
  <w:num w:numId="21">
    <w:abstractNumId w:val="23"/>
  </w:num>
  <w:num w:numId="22">
    <w:abstractNumId w:val="22"/>
  </w:num>
  <w:num w:numId="23">
    <w:abstractNumId w:val="14"/>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F3B0950"/>
    <w:rsid w:val="000056D4"/>
    <w:rsid w:val="00012985"/>
    <w:rsid w:val="00012CED"/>
    <w:rsid w:val="000204F5"/>
    <w:rsid w:val="00034EFB"/>
    <w:rsid w:val="00067BF9"/>
    <w:rsid w:val="00076BA7"/>
    <w:rsid w:val="00080480"/>
    <w:rsid w:val="00081B1C"/>
    <w:rsid w:val="000840FB"/>
    <w:rsid w:val="000863FC"/>
    <w:rsid w:val="000A678F"/>
    <w:rsid w:val="000A73AD"/>
    <w:rsid w:val="000B5287"/>
    <w:rsid w:val="000C0BD4"/>
    <w:rsid w:val="000C2155"/>
    <w:rsid w:val="000E4F4B"/>
    <w:rsid w:val="000F6136"/>
    <w:rsid w:val="001022B5"/>
    <w:rsid w:val="00107D8A"/>
    <w:rsid w:val="00110F21"/>
    <w:rsid w:val="00117F9A"/>
    <w:rsid w:val="00121875"/>
    <w:rsid w:val="00125AB4"/>
    <w:rsid w:val="00140A9A"/>
    <w:rsid w:val="00147066"/>
    <w:rsid w:val="00162947"/>
    <w:rsid w:val="00164173"/>
    <w:rsid w:val="00174F5B"/>
    <w:rsid w:val="0017580C"/>
    <w:rsid w:val="0019103C"/>
    <w:rsid w:val="0019385B"/>
    <w:rsid w:val="00197703"/>
    <w:rsid w:val="001A254B"/>
    <w:rsid w:val="001C4727"/>
    <w:rsid w:val="001D0DB7"/>
    <w:rsid w:val="001E47C4"/>
    <w:rsid w:val="001E530D"/>
    <w:rsid w:val="001F18DB"/>
    <w:rsid w:val="001F680B"/>
    <w:rsid w:val="002118A5"/>
    <w:rsid w:val="00212CE5"/>
    <w:rsid w:val="00243040"/>
    <w:rsid w:val="00275CAF"/>
    <w:rsid w:val="00281BF2"/>
    <w:rsid w:val="002907F7"/>
    <w:rsid w:val="0029430B"/>
    <w:rsid w:val="0029632F"/>
    <w:rsid w:val="002A616F"/>
    <w:rsid w:val="002A6810"/>
    <w:rsid w:val="002B377D"/>
    <w:rsid w:val="002B47EE"/>
    <w:rsid w:val="002E1CB8"/>
    <w:rsid w:val="0030144B"/>
    <w:rsid w:val="003161DA"/>
    <w:rsid w:val="00324433"/>
    <w:rsid w:val="003427F4"/>
    <w:rsid w:val="00354145"/>
    <w:rsid w:val="00367C2C"/>
    <w:rsid w:val="00372B1E"/>
    <w:rsid w:val="00384383"/>
    <w:rsid w:val="003855A2"/>
    <w:rsid w:val="003B423B"/>
    <w:rsid w:val="003B5249"/>
    <w:rsid w:val="003B7F96"/>
    <w:rsid w:val="003C468E"/>
    <w:rsid w:val="003C78DA"/>
    <w:rsid w:val="003D2585"/>
    <w:rsid w:val="003E4356"/>
    <w:rsid w:val="00422156"/>
    <w:rsid w:val="00432934"/>
    <w:rsid w:val="0044034D"/>
    <w:rsid w:val="0044415E"/>
    <w:rsid w:val="00474A03"/>
    <w:rsid w:val="004761FF"/>
    <w:rsid w:val="00494A86"/>
    <w:rsid w:val="00495EF4"/>
    <w:rsid w:val="004B18B5"/>
    <w:rsid w:val="00500967"/>
    <w:rsid w:val="00520231"/>
    <w:rsid w:val="0052647F"/>
    <w:rsid w:val="005339E3"/>
    <w:rsid w:val="00551246"/>
    <w:rsid w:val="005608C4"/>
    <w:rsid w:val="00561F20"/>
    <w:rsid w:val="00562092"/>
    <w:rsid w:val="00573FCD"/>
    <w:rsid w:val="00587E6F"/>
    <w:rsid w:val="00594ADA"/>
    <w:rsid w:val="005B52BE"/>
    <w:rsid w:val="005C519B"/>
    <w:rsid w:val="005D066A"/>
    <w:rsid w:val="00605823"/>
    <w:rsid w:val="00622973"/>
    <w:rsid w:val="00630104"/>
    <w:rsid w:val="00636C8A"/>
    <w:rsid w:val="00645BCB"/>
    <w:rsid w:val="00646D4B"/>
    <w:rsid w:val="0065273E"/>
    <w:rsid w:val="0065319F"/>
    <w:rsid w:val="00655A6B"/>
    <w:rsid w:val="00663D67"/>
    <w:rsid w:val="00674878"/>
    <w:rsid w:val="006B0BF3"/>
    <w:rsid w:val="006B1ECA"/>
    <w:rsid w:val="006B2509"/>
    <w:rsid w:val="006C4D66"/>
    <w:rsid w:val="006C50FB"/>
    <w:rsid w:val="006D2645"/>
    <w:rsid w:val="006D7359"/>
    <w:rsid w:val="00700785"/>
    <w:rsid w:val="00726BC6"/>
    <w:rsid w:val="0072711D"/>
    <w:rsid w:val="007322BA"/>
    <w:rsid w:val="00733794"/>
    <w:rsid w:val="007377F0"/>
    <w:rsid w:val="0075332E"/>
    <w:rsid w:val="00754E8B"/>
    <w:rsid w:val="00763A0E"/>
    <w:rsid w:val="0076612E"/>
    <w:rsid w:val="007665DC"/>
    <w:rsid w:val="0078608F"/>
    <w:rsid w:val="00791DDC"/>
    <w:rsid w:val="00794B5E"/>
    <w:rsid w:val="007A2AA0"/>
    <w:rsid w:val="007B09F5"/>
    <w:rsid w:val="007D7A0D"/>
    <w:rsid w:val="007F41A0"/>
    <w:rsid w:val="00811D1B"/>
    <w:rsid w:val="00821E26"/>
    <w:rsid w:val="0084572B"/>
    <w:rsid w:val="00856CFF"/>
    <w:rsid w:val="0087516D"/>
    <w:rsid w:val="008839CB"/>
    <w:rsid w:val="008C2A74"/>
    <w:rsid w:val="008D25C3"/>
    <w:rsid w:val="008D64F3"/>
    <w:rsid w:val="008F03FB"/>
    <w:rsid w:val="00901606"/>
    <w:rsid w:val="009117C5"/>
    <w:rsid w:val="009120EC"/>
    <w:rsid w:val="00936044"/>
    <w:rsid w:val="009612FB"/>
    <w:rsid w:val="009932D5"/>
    <w:rsid w:val="00997B2F"/>
    <w:rsid w:val="009B5B96"/>
    <w:rsid w:val="009B730D"/>
    <w:rsid w:val="009C155F"/>
    <w:rsid w:val="009C7D30"/>
    <w:rsid w:val="009E55CA"/>
    <w:rsid w:val="009E6DBB"/>
    <w:rsid w:val="009F013C"/>
    <w:rsid w:val="009F2008"/>
    <w:rsid w:val="009F3167"/>
    <w:rsid w:val="00A04323"/>
    <w:rsid w:val="00A2192A"/>
    <w:rsid w:val="00A3422A"/>
    <w:rsid w:val="00A40908"/>
    <w:rsid w:val="00A41038"/>
    <w:rsid w:val="00A6609B"/>
    <w:rsid w:val="00A70ABE"/>
    <w:rsid w:val="00A7779A"/>
    <w:rsid w:val="00A82FC8"/>
    <w:rsid w:val="00A85836"/>
    <w:rsid w:val="00AC2007"/>
    <w:rsid w:val="00AD3B31"/>
    <w:rsid w:val="00AF29F7"/>
    <w:rsid w:val="00B06776"/>
    <w:rsid w:val="00B10347"/>
    <w:rsid w:val="00B14CAA"/>
    <w:rsid w:val="00B1574A"/>
    <w:rsid w:val="00B15E5F"/>
    <w:rsid w:val="00B21AD5"/>
    <w:rsid w:val="00B234A1"/>
    <w:rsid w:val="00B427C1"/>
    <w:rsid w:val="00B50A54"/>
    <w:rsid w:val="00B51FD3"/>
    <w:rsid w:val="00B53365"/>
    <w:rsid w:val="00B540B1"/>
    <w:rsid w:val="00B604C4"/>
    <w:rsid w:val="00B62985"/>
    <w:rsid w:val="00B759C5"/>
    <w:rsid w:val="00B91235"/>
    <w:rsid w:val="00B9479E"/>
    <w:rsid w:val="00B96B21"/>
    <w:rsid w:val="00BC540B"/>
    <w:rsid w:val="00BC74FE"/>
    <w:rsid w:val="00BD0626"/>
    <w:rsid w:val="00BF3F78"/>
    <w:rsid w:val="00BF74E3"/>
    <w:rsid w:val="00C37406"/>
    <w:rsid w:val="00C416AF"/>
    <w:rsid w:val="00C6422E"/>
    <w:rsid w:val="00C64A01"/>
    <w:rsid w:val="00C84624"/>
    <w:rsid w:val="00CB3F9A"/>
    <w:rsid w:val="00CB7470"/>
    <w:rsid w:val="00CD233D"/>
    <w:rsid w:val="00CE5576"/>
    <w:rsid w:val="00D048B0"/>
    <w:rsid w:val="00D15A5E"/>
    <w:rsid w:val="00D26DF9"/>
    <w:rsid w:val="00D41049"/>
    <w:rsid w:val="00D535EE"/>
    <w:rsid w:val="00D53D03"/>
    <w:rsid w:val="00D609BD"/>
    <w:rsid w:val="00D72A1F"/>
    <w:rsid w:val="00D74C16"/>
    <w:rsid w:val="00D93FB8"/>
    <w:rsid w:val="00DB1F6E"/>
    <w:rsid w:val="00DB5F77"/>
    <w:rsid w:val="00DC6B86"/>
    <w:rsid w:val="00DD15B1"/>
    <w:rsid w:val="00E0373D"/>
    <w:rsid w:val="00E06C7E"/>
    <w:rsid w:val="00E22DDF"/>
    <w:rsid w:val="00E42437"/>
    <w:rsid w:val="00E4586C"/>
    <w:rsid w:val="00E46CFA"/>
    <w:rsid w:val="00E604C3"/>
    <w:rsid w:val="00E779CA"/>
    <w:rsid w:val="00EB106A"/>
    <w:rsid w:val="00EC7263"/>
    <w:rsid w:val="00ED43AA"/>
    <w:rsid w:val="00F10792"/>
    <w:rsid w:val="00F42E54"/>
    <w:rsid w:val="00F55030"/>
    <w:rsid w:val="00F80DFF"/>
    <w:rsid w:val="00FB20B5"/>
    <w:rsid w:val="00FB3AFA"/>
    <w:rsid w:val="00FD5644"/>
    <w:rsid w:val="00FE318F"/>
    <w:rsid w:val="00FF6B55"/>
    <w:rsid w:val="3A49FBC2"/>
    <w:rsid w:val="3F3B0950"/>
    <w:rsid w:val="45FD782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767206"/>
  <w15:chartTrackingRefBased/>
  <w15:docId w15:val="{78636533-9F10-49CB-9246-3E6E17846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3427F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unhideWhenUsed/>
    <w:qFormat/>
    <w:rsid w:val="009612F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unhideWhenUsed/>
    <w:qFormat/>
    <w:rsid w:val="0042215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3427F4"/>
    <w:rPr>
      <w:rFonts w:asciiTheme="majorHAnsi" w:eastAsiaTheme="majorEastAsia" w:hAnsiTheme="majorHAnsi" w:cstheme="majorBidi"/>
      <w:color w:val="2F5496" w:themeColor="accent1" w:themeShade="BF"/>
      <w:sz w:val="32"/>
      <w:szCs w:val="32"/>
    </w:rPr>
  </w:style>
  <w:style w:type="paragraph" w:styleId="Listenabsatz">
    <w:name w:val="List Paragraph"/>
    <w:basedOn w:val="Standard"/>
    <w:uiPriority w:val="34"/>
    <w:qFormat/>
    <w:rsid w:val="005C519B"/>
    <w:pPr>
      <w:ind w:left="720"/>
      <w:contextualSpacing/>
    </w:pPr>
  </w:style>
  <w:style w:type="character" w:customStyle="1" w:styleId="berschrift2Zchn">
    <w:name w:val="Überschrift 2 Zchn"/>
    <w:basedOn w:val="Absatz-Standardschriftart"/>
    <w:link w:val="berschrift2"/>
    <w:uiPriority w:val="9"/>
    <w:rsid w:val="009612FB"/>
    <w:rPr>
      <w:rFonts w:asciiTheme="majorHAnsi" w:eastAsiaTheme="majorEastAsia" w:hAnsiTheme="majorHAnsi" w:cstheme="majorBidi"/>
      <w:color w:val="2F5496" w:themeColor="accent1" w:themeShade="BF"/>
      <w:sz w:val="26"/>
      <w:szCs w:val="26"/>
    </w:rPr>
  </w:style>
  <w:style w:type="paragraph" w:styleId="Inhaltsverzeichnisberschrift">
    <w:name w:val="TOC Heading"/>
    <w:basedOn w:val="berschrift1"/>
    <w:next w:val="Standard"/>
    <w:uiPriority w:val="39"/>
    <w:unhideWhenUsed/>
    <w:qFormat/>
    <w:rsid w:val="005608C4"/>
    <w:pPr>
      <w:outlineLvl w:val="9"/>
    </w:pPr>
    <w:rPr>
      <w:lang w:val="de-AT" w:eastAsia="de-AT"/>
    </w:rPr>
  </w:style>
  <w:style w:type="paragraph" w:styleId="Verzeichnis1">
    <w:name w:val="toc 1"/>
    <w:basedOn w:val="Standard"/>
    <w:next w:val="Standard"/>
    <w:autoRedefine/>
    <w:uiPriority w:val="39"/>
    <w:unhideWhenUsed/>
    <w:rsid w:val="005608C4"/>
    <w:pPr>
      <w:spacing w:after="100"/>
    </w:pPr>
  </w:style>
  <w:style w:type="paragraph" w:styleId="Verzeichnis2">
    <w:name w:val="toc 2"/>
    <w:basedOn w:val="Standard"/>
    <w:next w:val="Standard"/>
    <w:autoRedefine/>
    <w:uiPriority w:val="39"/>
    <w:unhideWhenUsed/>
    <w:rsid w:val="005608C4"/>
    <w:pPr>
      <w:spacing w:after="100"/>
      <w:ind w:left="220"/>
    </w:pPr>
  </w:style>
  <w:style w:type="character" w:styleId="Hyperlink">
    <w:name w:val="Hyperlink"/>
    <w:basedOn w:val="Absatz-Standardschriftart"/>
    <w:uiPriority w:val="99"/>
    <w:unhideWhenUsed/>
    <w:rsid w:val="005608C4"/>
    <w:rPr>
      <w:color w:val="0563C1" w:themeColor="hyperlink"/>
      <w:u w:val="single"/>
    </w:rPr>
  </w:style>
  <w:style w:type="paragraph" w:styleId="Titel">
    <w:name w:val="Title"/>
    <w:basedOn w:val="Standard"/>
    <w:next w:val="Standard"/>
    <w:link w:val="TitelZchn"/>
    <w:uiPriority w:val="10"/>
    <w:qFormat/>
    <w:rsid w:val="0063010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630104"/>
    <w:rPr>
      <w:rFonts w:asciiTheme="majorHAnsi" w:eastAsiaTheme="majorEastAsia" w:hAnsiTheme="majorHAnsi" w:cstheme="majorBidi"/>
      <w:spacing w:val="-10"/>
      <w:kern w:val="28"/>
      <w:sz w:val="56"/>
      <w:szCs w:val="56"/>
    </w:rPr>
  </w:style>
  <w:style w:type="character" w:customStyle="1" w:styleId="berschrift3Zchn">
    <w:name w:val="Überschrift 3 Zchn"/>
    <w:basedOn w:val="Absatz-Standardschriftart"/>
    <w:link w:val="berschrift3"/>
    <w:uiPriority w:val="9"/>
    <w:rsid w:val="00422156"/>
    <w:rPr>
      <w:rFonts w:asciiTheme="majorHAnsi" w:eastAsiaTheme="majorEastAsia" w:hAnsiTheme="majorHAnsi" w:cstheme="majorBidi"/>
      <w:color w:val="1F3763" w:themeColor="accent1" w:themeShade="7F"/>
      <w:sz w:val="24"/>
      <w:szCs w:val="24"/>
    </w:rPr>
  </w:style>
  <w:style w:type="paragraph" w:styleId="Kopfzeile">
    <w:name w:val="header"/>
    <w:basedOn w:val="Standard"/>
    <w:link w:val="KopfzeileZchn"/>
    <w:uiPriority w:val="99"/>
    <w:unhideWhenUsed/>
    <w:rsid w:val="00174F5B"/>
    <w:pPr>
      <w:tabs>
        <w:tab w:val="center" w:pos="4513"/>
        <w:tab w:val="right" w:pos="9026"/>
      </w:tabs>
      <w:spacing w:after="0" w:line="240" w:lineRule="auto"/>
    </w:pPr>
  </w:style>
  <w:style w:type="character" w:customStyle="1" w:styleId="KopfzeileZchn">
    <w:name w:val="Kopfzeile Zchn"/>
    <w:basedOn w:val="Absatz-Standardschriftart"/>
    <w:link w:val="Kopfzeile"/>
    <w:uiPriority w:val="99"/>
    <w:rsid w:val="00174F5B"/>
  </w:style>
  <w:style w:type="paragraph" w:styleId="Fuzeile">
    <w:name w:val="footer"/>
    <w:basedOn w:val="Standard"/>
    <w:link w:val="FuzeileZchn"/>
    <w:uiPriority w:val="99"/>
    <w:unhideWhenUsed/>
    <w:rsid w:val="00174F5B"/>
    <w:pPr>
      <w:tabs>
        <w:tab w:val="center" w:pos="4513"/>
        <w:tab w:val="right" w:pos="9026"/>
      </w:tabs>
      <w:spacing w:after="0" w:line="240" w:lineRule="auto"/>
    </w:pPr>
  </w:style>
  <w:style w:type="character" w:customStyle="1" w:styleId="FuzeileZchn">
    <w:name w:val="Fußzeile Zchn"/>
    <w:basedOn w:val="Absatz-Standardschriftart"/>
    <w:link w:val="Fuzeile"/>
    <w:uiPriority w:val="99"/>
    <w:rsid w:val="00174F5B"/>
  </w:style>
  <w:style w:type="paragraph" w:styleId="Textkrper-Zeileneinzug">
    <w:name w:val="Body Text Indent"/>
    <w:basedOn w:val="Standard"/>
    <w:link w:val="Textkrper-ZeileneinzugZchn"/>
    <w:unhideWhenUsed/>
    <w:rsid w:val="002907F7"/>
    <w:pPr>
      <w:spacing w:after="0" w:line="240" w:lineRule="auto"/>
      <w:ind w:left="426" w:hanging="426"/>
    </w:pPr>
    <w:rPr>
      <w:rFonts w:ascii="Arial" w:eastAsia="Times New Roman" w:hAnsi="Arial" w:cs="Times New Roman"/>
      <w:sz w:val="24"/>
      <w:szCs w:val="20"/>
      <w:lang w:val="de-AT" w:eastAsia="de-DE"/>
    </w:rPr>
  </w:style>
  <w:style w:type="character" w:customStyle="1" w:styleId="Textkrper-ZeileneinzugZchn">
    <w:name w:val="Textkörper-Zeileneinzug Zchn"/>
    <w:basedOn w:val="Absatz-Standardschriftart"/>
    <w:link w:val="Textkrper-Zeileneinzug"/>
    <w:rsid w:val="002907F7"/>
    <w:rPr>
      <w:rFonts w:ascii="Arial" w:eastAsia="Times New Roman" w:hAnsi="Arial" w:cs="Times New Roman"/>
      <w:sz w:val="24"/>
      <w:szCs w:val="20"/>
      <w:lang w:val="de-AT" w:eastAsia="de-DE"/>
    </w:rPr>
  </w:style>
  <w:style w:type="paragraph" w:styleId="Sprechblasentext">
    <w:name w:val="Balloon Text"/>
    <w:basedOn w:val="Standard"/>
    <w:link w:val="SprechblasentextZchn"/>
    <w:uiPriority w:val="99"/>
    <w:semiHidden/>
    <w:unhideWhenUsed/>
    <w:rsid w:val="007377F0"/>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377F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vorarlberg.at/pdf/allgemeinefoerderungricht.pdf"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5341774228DF14CA5E0CEB18BA7141C" ma:contentTypeVersion="10" ma:contentTypeDescription="Ein neues Dokument erstellen." ma:contentTypeScope="" ma:versionID="27eb3355a8496a4a5818fd5a06b1d99d">
  <xsd:schema xmlns:xsd="http://www.w3.org/2001/XMLSchema" xmlns:xs="http://www.w3.org/2001/XMLSchema" xmlns:p="http://schemas.microsoft.com/office/2006/metadata/properties" xmlns:ns2="cc17dda3-214d-4b2c-acd3-a47d0e28e277" xmlns:ns3="fcfa2ccc-2196-4282-b9b8-8248f9593d0f" targetNamespace="http://schemas.microsoft.com/office/2006/metadata/properties" ma:root="true" ma:fieldsID="292fd29c6ad6f7164ea3bf9505a3484b" ns2:_="" ns3:_="">
    <xsd:import namespace="cc17dda3-214d-4b2c-acd3-a47d0e28e277"/>
    <xsd:import namespace="fcfa2ccc-2196-4282-b9b8-8248f9593d0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17dda3-214d-4b2c-acd3-a47d0e28e2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cfa2ccc-2196-4282-b9b8-8248f9593d0f"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64450E-D8FD-478E-8B81-BB697E1D02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17dda3-214d-4b2c-acd3-a47d0e28e277"/>
    <ds:schemaRef ds:uri="fcfa2ccc-2196-4282-b9b8-8248f9593d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90ECFD7-EC0C-422C-9F31-380310E01FF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9C10B02-EB74-4642-B397-3E982CCBB16E}">
  <ds:schemaRefs>
    <ds:schemaRef ds:uri="http://schemas.microsoft.com/sharepoint/v3/contenttype/forms"/>
  </ds:schemaRefs>
</ds:datastoreItem>
</file>

<file path=customXml/itemProps4.xml><?xml version="1.0" encoding="utf-8"?>
<ds:datastoreItem xmlns:ds="http://schemas.openxmlformats.org/officeDocument/2006/customXml" ds:itemID="{28A9CAB2-7B49-4939-B8B9-3E615A1B64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931</Words>
  <Characters>5872</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6790</CharactersWithSpaces>
  <SharedDoc>false</SharedDoc>
  <HLinks>
    <vt:vector size="144" baseType="variant">
      <vt:variant>
        <vt:i4>1245234</vt:i4>
      </vt:variant>
      <vt:variant>
        <vt:i4>140</vt:i4>
      </vt:variant>
      <vt:variant>
        <vt:i4>0</vt:i4>
      </vt:variant>
      <vt:variant>
        <vt:i4>5</vt:i4>
      </vt:variant>
      <vt:variant>
        <vt:lpwstr/>
      </vt:variant>
      <vt:variant>
        <vt:lpwstr>_Toc51749697</vt:lpwstr>
      </vt:variant>
      <vt:variant>
        <vt:i4>1179698</vt:i4>
      </vt:variant>
      <vt:variant>
        <vt:i4>134</vt:i4>
      </vt:variant>
      <vt:variant>
        <vt:i4>0</vt:i4>
      </vt:variant>
      <vt:variant>
        <vt:i4>5</vt:i4>
      </vt:variant>
      <vt:variant>
        <vt:lpwstr/>
      </vt:variant>
      <vt:variant>
        <vt:lpwstr>_Toc51749696</vt:lpwstr>
      </vt:variant>
      <vt:variant>
        <vt:i4>1114162</vt:i4>
      </vt:variant>
      <vt:variant>
        <vt:i4>128</vt:i4>
      </vt:variant>
      <vt:variant>
        <vt:i4>0</vt:i4>
      </vt:variant>
      <vt:variant>
        <vt:i4>5</vt:i4>
      </vt:variant>
      <vt:variant>
        <vt:lpwstr/>
      </vt:variant>
      <vt:variant>
        <vt:lpwstr>_Toc51749695</vt:lpwstr>
      </vt:variant>
      <vt:variant>
        <vt:i4>1048626</vt:i4>
      </vt:variant>
      <vt:variant>
        <vt:i4>122</vt:i4>
      </vt:variant>
      <vt:variant>
        <vt:i4>0</vt:i4>
      </vt:variant>
      <vt:variant>
        <vt:i4>5</vt:i4>
      </vt:variant>
      <vt:variant>
        <vt:lpwstr/>
      </vt:variant>
      <vt:variant>
        <vt:lpwstr>_Toc51749694</vt:lpwstr>
      </vt:variant>
      <vt:variant>
        <vt:i4>1507378</vt:i4>
      </vt:variant>
      <vt:variant>
        <vt:i4>116</vt:i4>
      </vt:variant>
      <vt:variant>
        <vt:i4>0</vt:i4>
      </vt:variant>
      <vt:variant>
        <vt:i4>5</vt:i4>
      </vt:variant>
      <vt:variant>
        <vt:lpwstr/>
      </vt:variant>
      <vt:variant>
        <vt:lpwstr>_Toc51749693</vt:lpwstr>
      </vt:variant>
      <vt:variant>
        <vt:i4>1441842</vt:i4>
      </vt:variant>
      <vt:variant>
        <vt:i4>110</vt:i4>
      </vt:variant>
      <vt:variant>
        <vt:i4>0</vt:i4>
      </vt:variant>
      <vt:variant>
        <vt:i4>5</vt:i4>
      </vt:variant>
      <vt:variant>
        <vt:lpwstr/>
      </vt:variant>
      <vt:variant>
        <vt:lpwstr>_Toc51749692</vt:lpwstr>
      </vt:variant>
      <vt:variant>
        <vt:i4>1376306</vt:i4>
      </vt:variant>
      <vt:variant>
        <vt:i4>104</vt:i4>
      </vt:variant>
      <vt:variant>
        <vt:i4>0</vt:i4>
      </vt:variant>
      <vt:variant>
        <vt:i4>5</vt:i4>
      </vt:variant>
      <vt:variant>
        <vt:lpwstr/>
      </vt:variant>
      <vt:variant>
        <vt:lpwstr>_Toc51749691</vt:lpwstr>
      </vt:variant>
      <vt:variant>
        <vt:i4>1310770</vt:i4>
      </vt:variant>
      <vt:variant>
        <vt:i4>98</vt:i4>
      </vt:variant>
      <vt:variant>
        <vt:i4>0</vt:i4>
      </vt:variant>
      <vt:variant>
        <vt:i4>5</vt:i4>
      </vt:variant>
      <vt:variant>
        <vt:lpwstr/>
      </vt:variant>
      <vt:variant>
        <vt:lpwstr>_Toc51749690</vt:lpwstr>
      </vt:variant>
      <vt:variant>
        <vt:i4>1900595</vt:i4>
      </vt:variant>
      <vt:variant>
        <vt:i4>92</vt:i4>
      </vt:variant>
      <vt:variant>
        <vt:i4>0</vt:i4>
      </vt:variant>
      <vt:variant>
        <vt:i4>5</vt:i4>
      </vt:variant>
      <vt:variant>
        <vt:lpwstr/>
      </vt:variant>
      <vt:variant>
        <vt:lpwstr>_Toc51749689</vt:lpwstr>
      </vt:variant>
      <vt:variant>
        <vt:i4>1835059</vt:i4>
      </vt:variant>
      <vt:variant>
        <vt:i4>86</vt:i4>
      </vt:variant>
      <vt:variant>
        <vt:i4>0</vt:i4>
      </vt:variant>
      <vt:variant>
        <vt:i4>5</vt:i4>
      </vt:variant>
      <vt:variant>
        <vt:lpwstr/>
      </vt:variant>
      <vt:variant>
        <vt:lpwstr>_Toc51749688</vt:lpwstr>
      </vt:variant>
      <vt:variant>
        <vt:i4>1245235</vt:i4>
      </vt:variant>
      <vt:variant>
        <vt:i4>80</vt:i4>
      </vt:variant>
      <vt:variant>
        <vt:i4>0</vt:i4>
      </vt:variant>
      <vt:variant>
        <vt:i4>5</vt:i4>
      </vt:variant>
      <vt:variant>
        <vt:lpwstr/>
      </vt:variant>
      <vt:variant>
        <vt:lpwstr>_Toc51749687</vt:lpwstr>
      </vt:variant>
      <vt:variant>
        <vt:i4>1179699</vt:i4>
      </vt:variant>
      <vt:variant>
        <vt:i4>74</vt:i4>
      </vt:variant>
      <vt:variant>
        <vt:i4>0</vt:i4>
      </vt:variant>
      <vt:variant>
        <vt:i4>5</vt:i4>
      </vt:variant>
      <vt:variant>
        <vt:lpwstr/>
      </vt:variant>
      <vt:variant>
        <vt:lpwstr>_Toc51749686</vt:lpwstr>
      </vt:variant>
      <vt:variant>
        <vt:i4>1114163</vt:i4>
      </vt:variant>
      <vt:variant>
        <vt:i4>68</vt:i4>
      </vt:variant>
      <vt:variant>
        <vt:i4>0</vt:i4>
      </vt:variant>
      <vt:variant>
        <vt:i4>5</vt:i4>
      </vt:variant>
      <vt:variant>
        <vt:lpwstr/>
      </vt:variant>
      <vt:variant>
        <vt:lpwstr>_Toc51749685</vt:lpwstr>
      </vt:variant>
      <vt:variant>
        <vt:i4>1048627</vt:i4>
      </vt:variant>
      <vt:variant>
        <vt:i4>62</vt:i4>
      </vt:variant>
      <vt:variant>
        <vt:i4>0</vt:i4>
      </vt:variant>
      <vt:variant>
        <vt:i4>5</vt:i4>
      </vt:variant>
      <vt:variant>
        <vt:lpwstr/>
      </vt:variant>
      <vt:variant>
        <vt:lpwstr>_Toc51749684</vt:lpwstr>
      </vt:variant>
      <vt:variant>
        <vt:i4>1507379</vt:i4>
      </vt:variant>
      <vt:variant>
        <vt:i4>56</vt:i4>
      </vt:variant>
      <vt:variant>
        <vt:i4>0</vt:i4>
      </vt:variant>
      <vt:variant>
        <vt:i4>5</vt:i4>
      </vt:variant>
      <vt:variant>
        <vt:lpwstr/>
      </vt:variant>
      <vt:variant>
        <vt:lpwstr>_Toc51749683</vt:lpwstr>
      </vt:variant>
      <vt:variant>
        <vt:i4>1441843</vt:i4>
      </vt:variant>
      <vt:variant>
        <vt:i4>50</vt:i4>
      </vt:variant>
      <vt:variant>
        <vt:i4>0</vt:i4>
      </vt:variant>
      <vt:variant>
        <vt:i4>5</vt:i4>
      </vt:variant>
      <vt:variant>
        <vt:lpwstr/>
      </vt:variant>
      <vt:variant>
        <vt:lpwstr>_Toc51749682</vt:lpwstr>
      </vt:variant>
      <vt:variant>
        <vt:i4>1376307</vt:i4>
      </vt:variant>
      <vt:variant>
        <vt:i4>44</vt:i4>
      </vt:variant>
      <vt:variant>
        <vt:i4>0</vt:i4>
      </vt:variant>
      <vt:variant>
        <vt:i4>5</vt:i4>
      </vt:variant>
      <vt:variant>
        <vt:lpwstr/>
      </vt:variant>
      <vt:variant>
        <vt:lpwstr>_Toc51749681</vt:lpwstr>
      </vt:variant>
      <vt:variant>
        <vt:i4>1310771</vt:i4>
      </vt:variant>
      <vt:variant>
        <vt:i4>38</vt:i4>
      </vt:variant>
      <vt:variant>
        <vt:i4>0</vt:i4>
      </vt:variant>
      <vt:variant>
        <vt:i4>5</vt:i4>
      </vt:variant>
      <vt:variant>
        <vt:lpwstr/>
      </vt:variant>
      <vt:variant>
        <vt:lpwstr>_Toc51749680</vt:lpwstr>
      </vt:variant>
      <vt:variant>
        <vt:i4>1900604</vt:i4>
      </vt:variant>
      <vt:variant>
        <vt:i4>32</vt:i4>
      </vt:variant>
      <vt:variant>
        <vt:i4>0</vt:i4>
      </vt:variant>
      <vt:variant>
        <vt:i4>5</vt:i4>
      </vt:variant>
      <vt:variant>
        <vt:lpwstr/>
      </vt:variant>
      <vt:variant>
        <vt:lpwstr>_Toc51749679</vt:lpwstr>
      </vt:variant>
      <vt:variant>
        <vt:i4>1835068</vt:i4>
      </vt:variant>
      <vt:variant>
        <vt:i4>26</vt:i4>
      </vt:variant>
      <vt:variant>
        <vt:i4>0</vt:i4>
      </vt:variant>
      <vt:variant>
        <vt:i4>5</vt:i4>
      </vt:variant>
      <vt:variant>
        <vt:lpwstr/>
      </vt:variant>
      <vt:variant>
        <vt:lpwstr>_Toc51749678</vt:lpwstr>
      </vt:variant>
      <vt:variant>
        <vt:i4>1245244</vt:i4>
      </vt:variant>
      <vt:variant>
        <vt:i4>20</vt:i4>
      </vt:variant>
      <vt:variant>
        <vt:i4>0</vt:i4>
      </vt:variant>
      <vt:variant>
        <vt:i4>5</vt:i4>
      </vt:variant>
      <vt:variant>
        <vt:lpwstr/>
      </vt:variant>
      <vt:variant>
        <vt:lpwstr>_Toc51749677</vt:lpwstr>
      </vt:variant>
      <vt:variant>
        <vt:i4>1179708</vt:i4>
      </vt:variant>
      <vt:variant>
        <vt:i4>14</vt:i4>
      </vt:variant>
      <vt:variant>
        <vt:i4>0</vt:i4>
      </vt:variant>
      <vt:variant>
        <vt:i4>5</vt:i4>
      </vt:variant>
      <vt:variant>
        <vt:lpwstr/>
      </vt:variant>
      <vt:variant>
        <vt:lpwstr>_Toc51749676</vt:lpwstr>
      </vt:variant>
      <vt:variant>
        <vt:i4>1114172</vt:i4>
      </vt:variant>
      <vt:variant>
        <vt:i4>8</vt:i4>
      </vt:variant>
      <vt:variant>
        <vt:i4>0</vt:i4>
      </vt:variant>
      <vt:variant>
        <vt:i4>5</vt:i4>
      </vt:variant>
      <vt:variant>
        <vt:lpwstr/>
      </vt:variant>
      <vt:variant>
        <vt:lpwstr>_Toc51749675</vt:lpwstr>
      </vt:variant>
      <vt:variant>
        <vt:i4>1048636</vt:i4>
      </vt:variant>
      <vt:variant>
        <vt:i4>2</vt:i4>
      </vt:variant>
      <vt:variant>
        <vt:i4>0</vt:i4>
      </vt:variant>
      <vt:variant>
        <vt:i4>5</vt:i4>
      </vt:variant>
      <vt:variant>
        <vt:lpwstr/>
      </vt:variant>
      <vt:variant>
        <vt:lpwstr>_Toc51749674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Andreas Salcher</dc:creator>
  <cp:keywords/>
  <dc:description/>
  <cp:lastModifiedBy>Katharina Linhart</cp:lastModifiedBy>
  <cp:revision>2</cp:revision>
  <cp:lastPrinted>2020-11-12T09:42:00Z</cp:lastPrinted>
  <dcterms:created xsi:type="dcterms:W3CDTF">2021-01-26T11:16:00Z</dcterms:created>
  <dcterms:modified xsi:type="dcterms:W3CDTF">2021-01-26T11:16:00Z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0x01010015341774228DF14CA5E0CEB18BA7141C</vt:lpwstr>
  </property>
</Properties>
</file>